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[наименование районного (городского) суда / мирового судьи судебного участка № __]</w:t>
      </w:r>
      <w:r>
        <w:rPr>
          <w:rFonts w:ascii="Times New Roman" w:hAnsi="Times New Roman"/>
          <w:b w:val="0"/>
          <w:i w:val="0"/>
          <w:sz w:val="24"/>
        </w:rPr>
        <w:br/>
        <w:t>[адрес суда]</w:t>
      </w:r>
      <w:r>
        <w:rPr>
          <w:rFonts w:ascii="Times New Roman" w:hAnsi="Times New Roman"/>
          <w:b w:val="0"/>
          <w:i w:val="0"/>
          <w:sz w:val="24"/>
        </w:rPr>
        <w:br/>
        <w:t>Дело № [номер дела]</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лицо, передавшее деньги</w:t>
      </w:r>
      <w:r>
        <w:rPr>
          <w:rFonts w:ascii="Times New Roman" w:hAnsi="Times New Roman"/>
          <w:b w:val="0"/>
          <w:i w:val="0"/>
          <w:sz w:val="24"/>
        </w:rPr>
        <w:br/>
        <w:t>[Ф. И. О.]</w:t>
      </w:r>
      <w:r>
        <w:rPr>
          <w:rFonts w:ascii="Times New Roman" w:hAnsi="Times New Roman"/>
          <w:b w:val="0"/>
          <w:i w:val="0"/>
          <w:sz w:val="24"/>
        </w:rPr>
        <w:br/>
        <w:t>адрес: [место жительства]</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получатель денежных средств</w:t>
      </w:r>
      <w:r>
        <w:rPr>
          <w:rFonts w:ascii="Times New Roman" w:hAnsi="Times New Roman"/>
          <w:b w:val="0"/>
          <w:i w:val="0"/>
          <w:sz w:val="24"/>
        </w:rPr>
        <w:br/>
        <w:t>[Ф. И. О.]</w:t>
      </w:r>
      <w:r>
        <w:rPr>
          <w:rFonts w:ascii="Times New Roman" w:hAnsi="Times New Roman"/>
          <w:b w:val="0"/>
          <w:i w:val="0"/>
          <w:sz w:val="24"/>
        </w:rPr>
        <w:br/>
        <w:t>адрес: [место жительства]</w:t>
      </w:r>
      <w:r>
        <w:rPr>
          <w:rFonts w:ascii="Times New Roman" w:hAnsi="Times New Roman"/>
          <w:b w:val="0"/>
          <w:i w:val="0"/>
          <w:sz w:val="24"/>
        </w:rPr>
        <w:br/>
        <w:t>телефон: [вписать], адрес электронной почты: [вписать]</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денежных средств как займа (переквалификации дарения в заём)</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суда находится гражданское дело № [номер] по исковому заявлению [Ф. И. О. истца] к [Ф. И. О. ответчика] о признании переданных истцом денежных средств в размере [сумма] рублей займом и о взыскании их с ответчика. Копию искового заявления с приложениями ответчик получил «[дата]». Ответчик исковые требования не признаёт [в полном объёме / в части: указать] по основаниям, изложенным ниже. Отзыв представляется в порядке статьи 149 Гражданского процессуального кодекса Российской Федерации (далее — ГПК РФ), по которой ответчик при подготовке дела представляет истцу и суду письменные возражения и доказательства в их обоснование.</w:t>
      </w:r>
    </w:p>
    <w:p>
      <w:pPr>
        <w:spacing w:after="120" w:line="276" w:lineRule="auto"/>
        <w:ind w:firstLine="709"/>
        <w:jc w:val="both"/>
      </w:pPr>
      <w:r>
        <w:rPr>
          <w:rFonts w:ascii="Times New Roman" w:hAnsi="Times New Roman"/>
          <w:b/>
          <w:i w:val="0"/>
          <w:sz w:val="24"/>
        </w:rPr>
        <w:t>Обязанность доказать основания иска лежит на истце.</w:t>
      </w:r>
      <w:r>
        <w:rPr>
          <w:rFonts w:ascii="Times New Roman" w:hAnsi="Times New Roman"/>
          <w:b w:val="0"/>
          <w:i w:val="0"/>
          <w:sz w:val="24"/>
        </w:rPr>
        <w:t xml:space="preserve"> В силу части 1 статьи 12 ГПК РФ «Правосудие по гражданским делам осуществляется на основе состязательности и равноправия сторон.» Согласно части 1 статьи 56 ГПК РФ «Каждая сторона должна доказать те обстоятельства, на которые она ссылается как на основания своих требований и возражений, если иное не предусмотрено федеральным законом.» Таким образом, не ответчик должен опровергать иск, а истец — доказать каждое обстоятельство, на котором основаны его требования. Сомнения и пробелы в доказательствах истца толкуются не в его пользу.</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Деньги были подарены, а не переданы в долг.</w:t>
      </w:r>
      <w:r>
        <w:rPr>
          <w:rFonts w:ascii="Times New Roman" w:hAnsi="Times New Roman"/>
          <w:b w:val="0"/>
          <w:i w:val="0"/>
          <w:sz w:val="24"/>
        </w:rPr>
        <w:t xml:space="preserve"> Пунктом 1 статьи 572 Гражданского кодекса Российской Федерации (далее — ГК РФ) установлено: «По договору дарения одна сторона (даритель) безвозмездно передает или обязуется передать другой стороне (одаряемому) вещь в собственность либо имущественное право (требование) к себе или к третьему лицу либо освобождает или обязуется освободить ее от имущественной обязанности перед собой или перед третьим лицом.» Истец передал ответчику [сумма] рублей [на покупку квартиры / свадьбу / рождение ребёнка] безвозмездно, в качестве подарка [родственнику / супругу сына], без условия о возврате. Пунктом 1 статьи 574 ГК РФ: «Дарение, сопровождаемое передачей дара одаряемому, может быть совершено устно, за исключением случаев, предусмотренных пунктами 2 и 3 настоящей статьи.» Дарение денег между гражданами, сопровождаемое их передачей, может быть совершено устно.</w:t>
      </w:r>
    </w:p>
    <w:p>
      <w:pPr>
        <w:spacing w:after="120" w:line="276" w:lineRule="auto"/>
        <w:ind w:firstLine="709"/>
        <w:jc w:val="both"/>
      </w:pPr>
      <w:r>
        <w:rPr>
          <w:rFonts w:ascii="Times New Roman" w:hAnsi="Times New Roman"/>
          <w:b/>
          <w:i w:val="0"/>
          <w:sz w:val="24"/>
        </w:rPr>
        <w:t>Истец не доказал заключение договора займа.</w:t>
      </w:r>
      <w:r>
        <w:rPr>
          <w:rFonts w:ascii="Times New Roman" w:hAnsi="Times New Roman"/>
          <w:b w:val="0"/>
          <w:i w:val="0"/>
          <w:sz w:val="24"/>
        </w:rPr>
        <w:t xml:space="preserve"> Пунктом 1 статьи 808 ГК РФ установлено: «Договор займа между гражданами должен быть заключен в письменной форме, если его сумма превышает десять тысяч рублей, а в случае, когда займодавцем является юридическое лицо, - независимо от суммы.» Сумма превышает десять тысяч рублей, поэтому договор займа должен быть заключён в письменной форме. Ни договора, ни расписки нет. Банковский перевод без указания назначения «заём» подтверждает лишь передачу денег, но не обязанность их вернуть: существенным условием займа является обязанность заёмщика возвратить сумму (пункт 1 статьи 807 ГК РФ: «По договору займа одна сторона (займодавец) передает или обязуется передать в собственность другой стороне (заемщику) деньги, вещи, определенные родовыми признаками, или ценные бумаги, а заемщик обязуется возвратить займодавцу такую же сумму денег (сумму займа) или равное количество полученных им вещей того же рода и качества либо таких же ценных бумаг.»).</w:t>
      </w:r>
    </w:p>
    <w:p>
      <w:pPr>
        <w:spacing w:after="120" w:line="276" w:lineRule="auto"/>
        <w:ind w:firstLine="709"/>
        <w:jc w:val="both"/>
      </w:pPr>
      <w:r>
        <w:rPr>
          <w:rFonts w:ascii="Times New Roman" w:hAnsi="Times New Roman"/>
          <w:b/>
          <w:i w:val="0"/>
          <w:sz w:val="24"/>
        </w:rPr>
        <w:t>Поведение сторон подтверждает дарение.</w:t>
      </w:r>
      <w:r>
        <w:rPr>
          <w:rFonts w:ascii="Times New Roman" w:hAnsi="Times New Roman"/>
          <w:b w:val="0"/>
          <w:i w:val="0"/>
          <w:sz w:val="24"/>
        </w:rPr>
        <w:t xml:space="preserve"> [Истец [__] лет не требовал возврата; деньги передавались в период близких семейных отношений; аналогичные суммы истец передавал [другим детям] без условия возврата; в переписке истец называет их «помощью», «подарком»]. Требование о «возврате» возникло лишь после [ухудшения отношений / развода ответчика с сыном истца].</w:t>
      </w:r>
    </w:p>
    <w:p>
      <w:pPr>
        <w:spacing w:after="120" w:line="276" w:lineRule="auto"/>
        <w:ind w:firstLine="709"/>
        <w:jc w:val="both"/>
      </w:pPr>
      <w:r>
        <w:rPr>
          <w:rFonts w:ascii="Times New Roman" w:hAnsi="Times New Roman"/>
          <w:b/>
          <w:i w:val="0"/>
          <w:sz w:val="24"/>
        </w:rPr>
        <w:t>Нельзя переквалифицировать сделку без доказательства воли обеих сторон.</w:t>
      </w:r>
      <w:r>
        <w:rPr>
          <w:rFonts w:ascii="Times New Roman" w:hAnsi="Times New Roman"/>
          <w:b w:val="0"/>
          <w:i w:val="0"/>
          <w:sz w:val="24"/>
        </w:rPr>
        <w:t xml:space="preserve"> Требование истца по существу направлено на изменение природы сделки по его одностороннему желанию. Пунктом 4 статьи 1109 ГК РФ («денежные суммы и иное имущество, предоставленные во исполнение несуществующего обязательства, если приобретатель докажет, что лицо, требующее возврата имущества, знало об отсутствии обязательства либо предоставило имущество в целях благотворительности.») денежные суммы, предоставленные во исполнение несуществующего обязательства или в целях благотворительности, не подлежат возврату и как неосновательное обогащение.</w:t>
      </w:r>
    </w:p>
    <w:p>
      <w:pPr>
        <w:spacing w:after="120" w:line="276" w:lineRule="auto"/>
        <w:ind w:firstLine="709"/>
        <w:jc w:val="both"/>
      </w:pPr>
      <w:r>
        <w:rPr>
          <w:rFonts w:ascii="Times New Roman" w:hAnsi="Times New Roman"/>
          <w:b/>
          <w:i w:val="0"/>
          <w:sz w:val="24"/>
        </w:rPr>
        <w:t>[Если деньги передавались на общую покупку супругов:] Ответчик — ненадлежащий ответчик в части.</w:t>
      </w:r>
      <w:r>
        <w:rPr>
          <w:rFonts w:ascii="Times New Roman" w:hAnsi="Times New Roman"/>
          <w:b w:val="0"/>
          <w:i w:val="0"/>
          <w:sz w:val="24"/>
        </w:rPr>
        <w:t xml:space="preserve"> Деньги [переданы сыну истца и ответчику как семье / зачислены на счёт сына]; ответчик не может отвечать за всю сумму.</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срок давности начинается по окончании срока исполнения (пункт 2 статьи 200 ГК РФ: «По обязательствам с определенным сроком исполнения течение срока исковой давности начинается по окончании срока исполнения.»), а при исполнении по частям — отдельно по каждому платежу. По обязательствам, срок исполнения которых определён моментом востребования, — «По обязательствам, срок исполнения которых не определен или определен моментом востребования, срок исковой давности начинает течь со дня предъявления кредитором требования об исполнении обязательства, а если должнику предоставляется срок для исполнения такого требования, исчисление срока исковой давности начинается по окончании срока, предоставляемого для исполнения такого требования. При этом срок исковой давности во всяком случае не может превышать десять лет со дня возникновения обязательства.» Срок возврата [наступил «[дата]» / требование о возврате предъявлено «[дата]»]; иск подан «[дата]». Согласно пункту 2 статьи 199 ГК РФ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Согласно части 1 статьи 98 ГПК РФ «Стороне, в пользу которой состоялось решение суда, суд присуждает возместить с другой стороны все понесенные по делу судебные расходы, за исключением случаев, предусмотренных частью второй статьи 96 настоящего Кодекса. В случае, если иск удовлетворен частично, указанные в настоящей статье судебные расходы присуждаются истцу пропорционально размеру удовлетворенных судом исковых требований, а ответчику пропорционально той части исковых требований, в которой истцу отказано.» Поскольку требования истца не подлежат удовлетворению, оснований для возмещения ему судебных расходов нет; напротив, расходы ответчика подлежат взысканию с истца.</w:t>
      </w:r>
    </w:p>
    <w:p>
      <w:pPr>
        <w:spacing w:after="120" w:line="276" w:lineRule="auto"/>
        <w:ind w:firstLine="709"/>
        <w:jc w:val="both"/>
      </w:pPr>
      <w:r>
        <w:rPr>
          <w:rFonts w:ascii="Times New Roman" w:hAnsi="Times New Roman"/>
          <w:b w:val="0"/>
          <w:i w:val="0"/>
          <w:sz w:val="24"/>
        </w:rPr>
        <w:t>Частью 1 статьи 100 ГПК РФ установлено: «Стороне, в пользу которой состоялось решение суда, по ее письменному ходатайству суд присуждает с другой стороны расходы на оплату услуг представителя в разумных пределах.» Заявленные истцом расходы на представителя в сумме [сумма] рублей [чрезмерны: дело несложное, по нему проведено [__] заседание(-я), объём документов небольшой, стоимость не соответствует ценам на аналогичные услуги в регионе / не подтверждены: нет акта выполненных работ и доказательств оплаты]. При частичном удовлетворении иска расходы подлежат распределению пропорционально удовлетворённой части (часть 1 статьи 98 ГПК РФ). Ответчик понёс расходы на представителя в размере [сумма] рублей (договор от «[дата]», квитанция) и просит взыскать их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572, 574, 807, 808, 1109 ГК РФ, статьями 12, 56, 60, 149 ГПК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[Ф. И. О. истца] в удовлетворении исковых требований о признании денежных средств займом и их взыскании к [Ф. И. О. ответчика] в полном объёме.</w:t>
      </w:r>
    </w:p>
    <w:p>
      <w:pPr>
        <w:spacing w:after="120" w:line="276" w:lineRule="auto"/>
        <w:ind w:firstLine="709"/>
        <w:jc w:val="both"/>
      </w:pPr>
      <w:r>
        <w:rPr>
          <w:rFonts w:ascii="Times New Roman" w:hAnsi="Times New Roman"/>
          <w:b w:val="0"/>
          <w:i w:val="0"/>
          <w:sz w:val="24"/>
        </w:rPr>
        <w:t>2. Взыскать с [Ф. И. О. истца] в пользу [Ф. И. О. ответчика] судебные расходы: на оплату услуг представителя в размере [сумма] рублей, почтовые расходы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 подтверждающий направление (вручение) копии отзыва истцу и другим лицам, участвующим в деле.</w:t>
      </w:r>
    </w:p>
    <w:p>
      <w:pPr>
        <w:spacing w:after="40" w:line="276" w:lineRule="auto"/>
        <w:jc w:val="left"/>
      </w:pPr>
      <w:r>
        <w:rPr>
          <w:rFonts w:ascii="Times New Roman" w:hAnsi="Times New Roman"/>
          <w:b w:val="0"/>
          <w:i w:val="0"/>
          <w:sz w:val="24"/>
        </w:rPr>
        <w:t>2. Переписка сторон, в которой передача денег названа подарком (помощью).</w:t>
      </w:r>
    </w:p>
    <w:p>
      <w:pPr>
        <w:spacing w:after="40" w:line="276" w:lineRule="auto"/>
        <w:jc w:val="left"/>
      </w:pPr>
      <w:r>
        <w:rPr>
          <w:rFonts w:ascii="Times New Roman" w:hAnsi="Times New Roman"/>
          <w:b w:val="0"/>
          <w:i w:val="0"/>
          <w:sz w:val="24"/>
        </w:rPr>
        <w:t>3. Показания свидетелей о характере передачи (список свидетелей).</w:t>
      </w:r>
    </w:p>
    <w:p>
      <w:pPr>
        <w:spacing w:after="40" w:line="276" w:lineRule="auto"/>
        <w:jc w:val="left"/>
      </w:pPr>
      <w:r>
        <w:rPr>
          <w:rFonts w:ascii="Times New Roman" w:hAnsi="Times New Roman"/>
          <w:b w:val="0"/>
          <w:i w:val="0"/>
          <w:sz w:val="24"/>
        </w:rPr>
        <w:t>4. Сведения о передаче истцом аналогичных сумм другим лицам безвозвратно [если есть].</w:t>
      </w:r>
    </w:p>
    <w:p>
      <w:pPr>
        <w:spacing w:after="40" w:line="276" w:lineRule="auto"/>
        <w:jc w:val="left"/>
      </w:pPr>
      <w:r>
        <w:rPr>
          <w:rFonts w:ascii="Times New Roman" w:hAnsi="Times New Roman"/>
          <w:b w:val="0"/>
          <w:i w:val="0"/>
          <w:sz w:val="24"/>
        </w:rPr>
        <w:t>5. Документы о расходах ответчика на представителя (договор, акт, квитанция) [если заявлены].</w:t>
      </w:r>
    </w:p>
    <w:p>
      <w:pPr>
        <w:spacing w:after="40" w:line="276" w:lineRule="auto"/>
        <w:jc w:val="left"/>
      </w:pPr>
      <w:r>
        <w:rPr>
          <w:rFonts w:ascii="Times New Roman" w:hAnsi="Times New Roman"/>
          <w:b w:val="0"/>
          <w:i w:val="0"/>
          <w:sz w:val="24"/>
        </w:rPr>
        <w:t>6. Копия доверенности представителя [если отзыв подписывает представитель].</w:t>
      </w:r>
    </w:p>
    <w:p>
      <w:pPr>
        <w:spacing w:after="0" w:line="276" w:lineRule="auto" w:before="360"/>
        <w:jc w:val="left"/>
      </w:pPr>
      <w:r>
        <w:rPr>
          <w:rFonts w:ascii="Times New Roman" w:hAnsi="Times New Roman"/>
          <w:b w:val="0"/>
          <w:i w:val="0"/>
          <w:sz w:val="24"/>
        </w:rPr>
        <w:t>«___» __________ 20__ г.</w:t>
        <w:tab/>
        <w:tab/>
        <w:tab/>
        <w:tab/>
        <w:t>__________________ / [Ф. И. О. ответчика или представителя]</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Займ на сумму свыше 10 000 рублей между гражданами заключается письменно (п. 1 ст. 808 ГК РФ); без расписки истцу трудно доказать обязанность возврата.</w:t>
      </w:r>
    </w:p>
    <w:p>
      <w:pPr>
        <w:spacing w:after="40" w:line="276" w:lineRule="auto"/>
        <w:jc w:val="both"/>
      </w:pPr>
      <w:r>
        <w:rPr>
          <w:rFonts w:ascii="Times New Roman" w:hAnsi="Times New Roman"/>
          <w:b w:val="0"/>
          <w:i/>
          <w:sz w:val="24"/>
        </w:rPr>
        <w:t>— Если истец меняет основание на «неосновательное обогащение», используйте п. 4 ст. 1109 ГК РФ.</w:t>
      </w:r>
    </w:p>
    <w:p>
      <w:pPr>
        <w:spacing w:after="40" w:line="276" w:lineRule="auto"/>
        <w:jc w:val="both"/>
      </w:pPr>
      <w:r>
        <w:rPr>
          <w:rFonts w:ascii="Times New Roman" w:hAnsi="Times New Roman"/>
          <w:b w:val="0"/>
          <w:i/>
          <w:sz w:val="24"/>
        </w:rPr>
        <w:t>— Отзыв подают в суд и направляют истцу до предварительного заседания или в срок, установленный судьёй при подготовке дела (статьи 149, 150 ГПК РФ); в упрощённом производстве — в срок из определения суда (статья 232.3 ГПК РФ). Подать можно лично, почтой или через ГАС «Правосудие» / Госуслуги.</w:t>
      </w:r>
    </w:p>
    <w:p>
      <w:pPr>
        <w:spacing w:after="40" w:line="276" w:lineRule="auto"/>
        <w:jc w:val="both"/>
      </w:pPr>
      <w:r>
        <w:rPr>
          <w:rFonts w:ascii="Times New Roman" w:hAnsi="Times New Roman"/>
          <w:b w:val="0"/>
          <w:i/>
          <w:sz w:val="24"/>
        </w:rPr>
        <w:t>— О пропуске срока исковой давности заявляйте в суде первой инстанции до вынесения решения (п. 2 ст. 199 ГК РФ) — в апелляции такое заявление уже не рассматривается, если суд не перешёл к рассмотрению дела по правилам первой инстанции.</w:t>
      </w:r>
    </w:p>
    <w:p>
      <w:pPr>
        <w:spacing w:after="40" w:line="276" w:lineRule="auto"/>
        <w:jc w:val="both"/>
      </w:pPr>
      <w:r>
        <w:rPr>
          <w:rFonts w:ascii="Times New Roman" w:hAnsi="Times New Roman"/>
          <w:b w:val="0"/>
          <w:i/>
          <w:sz w:val="24"/>
        </w:rPr>
        <w:t>— Оставьте в отзыве только доводы, которые подтверждаются вашими документами и подходят к вашей ситуации: лишние и неподтверждённые возражения ослабляют позицию. Шаблон содержит максимальный набор доводов — выберите нужные.</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13.10.2026).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