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сособственник (владелец большей доли)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сособственник (владелец доли)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прекращении права собственности на долю в праве общей собственности с выплатой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доли ответчика ([__] в праве на [квартиру / дом] по адресу [адрес]) незначительной, прекращении права ответчика на долю с выплатой ему компенсации [сумма] рублей и признании права истца на эту долю.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Принудительный выкуп доли возможен лишь при одновременном наличии трёх условий.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4 статьи 252 Гражданского кодекса Российской Федерации (далее — ГК РФ) установлено: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Условия: доля незначительна, не может быть реально выделена, собственник не имеет существенного интереса в её использовании. Отсутствие любого из условий исключает удовлетворение иска.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ответчика не является незначительной.</w:t>
      </w:r>
      <w:r>
        <w:rPr>
          <w:rFonts w:ascii="Times New Roman" w:hAnsi="Times New Roman"/>
          <w:b w:val="0"/>
          <w:i w:val="0"/>
          <w:sz w:val="24"/>
        </w:rPr>
        <w:t xml:space="preserve"> На долю [__] приходится [__] кв. м общей и [__] кв. м жилой площади, что [соответствует площади изолированной комнаты / превышает учётную норму]. Незначительность оценивается не абстрактно, а с учётом площади и планировки конкретного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имеет существенный интерес в использовании доли.</w:t>
      </w:r>
      <w:r>
        <w:rPr>
          <w:rFonts w:ascii="Times New Roman" w:hAnsi="Times New Roman"/>
          <w:b w:val="0"/>
          <w:i w:val="0"/>
          <w:sz w:val="24"/>
        </w:rPr>
        <w:t xml:space="preserve"> Ответчик [зарегистрирован и проживает в квартире / не имеет другого жилья — выписка ЕГРН / хранит в квартире вещи / несёт расходы на её содержание — квитанции / намерен вселиться, но истец препятствует — обращение в полицию]. Пунктом 2 статьи 247 ГК РФ: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Отсутствие реального проживания, вызванное препятствиями со стороны истца, не свидетельствует об отсутствии интереса.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должна соответствовать рыночной стоимости и быть обеспечена.</w:t>
      </w:r>
      <w:r>
        <w:rPr>
          <w:rFonts w:ascii="Times New Roman" w:hAnsi="Times New Roman"/>
          <w:b w:val="0"/>
          <w:i w:val="0"/>
          <w:sz w:val="24"/>
        </w:rPr>
        <w:t xml:space="preserve"> Истец оценил долю в [сумма] рублей [пропорционально кадастровой стоимости / с «дисконтом» за долю]. Компенсация определяется рыночной стоимостью доли; истец обязан подтвердить наличие средств — внести сумму на депозит суда. [Средства на депозит не внесены.]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оценочной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выплаты.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252 ГК РФ: «С получением компенсации в соответствии с настоящей статьей собственник утрачивает право на долю в общем имуществе.» Право ответчика может быть прекращено только после фактического получения компенсации; решение должно содержать именно такое условие.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Иные способы защиты.</w:t>
      </w:r>
      <w:r>
        <w:rPr>
          <w:rFonts w:ascii="Times New Roman" w:hAnsi="Times New Roman"/>
          <w:b w:val="0"/>
          <w:i w:val="0"/>
          <w:sz w:val="24"/>
        </w:rPr>
        <w:t xml:space="preserve"> Истец не лишён возможности определить порядок пользования (пункт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судом.») или получать компенсацию за пользование долей; принудительное лишение собственности — крайняя мера.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РФ: «Собственнику принадлежат права владения, пользования и распоряжения своим имуществом.» Лишение собственности против воли владельца допускается лишь в случаях, прямо предусмотренных законом.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В силу пункта 2 той же статьи «В случае несоблюдения требований, предусмотренных пунктом 1 настоящей статьи, суд,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частично, а также применяет иные меры, предусмотренные законом.» Пункт 5 статьи 10 ГК РФ предполагает добросовестность участников оборота: «Добросовестность участников гражданских правоотношений и разумность их действий предполагаются.» [Истец создаёт ответчику препятствия в пользовании, а затем ссылается на непроживание ответчика как на отсутствие интереса.]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252 ГК РФ,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доли незначительной и прекращении права собственности ответчика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судебную оценочную экспертизу рыночной стоимости доли.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удовлетворении иска:] Установить размер компенсации по рыночной стоимости и указать, что право ответчика прекращается после её выплаты (перечисления с депозита суда).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Поэтажный план квартиры, расчёт площади, приходящейся на долю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ЕГРН об отсутствии у ответчика другого жилья, справка о регистрации.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Квитанции об оплате ответчиком расходов на содержание.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препятствий в пользовании со стороны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Все три условия п. 4 ст. 252 ГК РФ должны быть одновременно. Покажите хотя бы одно отсутствующее — чаще всего существенный интерес (единственное жильё, регистрация, расходы).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Компенсация — по рыночной стоимости и только после внесения истцом средств на депозит суда.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