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лицо, оспаривающее сделку</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сторона сделки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сделки недействительной как мнимой и применении последствий её недействительности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недействительным как мнимого договора [купли-продажи / займа / оказания услуг] от «[дата]» № [__] и применении последствий недействительности.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Сделка реально исполнена, правовые последствия наступили.</w:t>
      </w:r>
      <w:r>
        <w:rPr>
          <w:rFonts w:ascii="Times New Roman" w:hAnsi="Times New Roman"/>
          <w:b w:val="0"/>
          <w:i w:val="0"/>
          <w:sz w:val="24"/>
        </w:rPr>
        <w:t xml:space="preserve"> Пунктом 1 статьи 170 ГК РФ установлено: «Мнимая сделка, то есть сделка, совершенная лишь для вида, без намерения создать соответствующие ей правовые последствия, ничтожна.» Мнимость означает, что стороны не намеревались исполнять сделку. Между тем [имущество передано по акту и используется покупателем — фото, договоры аренды с третьими лицами, налоговые декларации / деньги перечислены и израсходованы на цели договора / услуги оказаны — отчёты, переписка, результаты]. Регистрация перехода права, уплата налогов, несение расходов на содержание имущества подтверждают реальность.</w:t>
      </w:r>
    </w:p>
    <w:p>
      <w:pPr>
        <w:spacing w:after="120" w:line="276" w:lineRule="auto"/>
        <w:ind w:firstLine="709"/>
        <w:jc w:val="both"/>
      </w:pPr>
      <w:r>
        <w:rPr>
          <w:rFonts w:ascii="Times New Roman" w:hAnsi="Times New Roman"/>
          <w:b/>
          <w:i w:val="0"/>
          <w:sz w:val="24"/>
        </w:rPr>
        <w:t>Цена и экономическая целесообразность сделки обоснованы.</w:t>
      </w:r>
      <w:r>
        <w:rPr>
          <w:rFonts w:ascii="Times New Roman" w:hAnsi="Times New Roman"/>
          <w:b w:val="0"/>
          <w:i w:val="0"/>
          <w:sz w:val="24"/>
        </w:rPr>
        <w:t xml:space="preserve"> Цена [сумма] рублей соответствует рыночной [заключение оценщика]; сделка совершена в рамках обычной хозяйственной деятельности ответчика [указать цель].</w:t>
      </w:r>
    </w:p>
    <w:p>
      <w:pPr>
        <w:spacing w:after="120" w:line="276" w:lineRule="auto"/>
        <w:ind w:firstLine="709"/>
        <w:jc w:val="both"/>
      </w:pPr>
      <w:r>
        <w:rPr>
          <w:rFonts w:ascii="Times New Roman" w:hAnsi="Times New Roman"/>
          <w:b/>
          <w:i w:val="0"/>
          <w:sz w:val="24"/>
        </w:rPr>
        <w:t>Аффилированность сторон сама по себе не означает мнимости.</w:t>
      </w:r>
      <w:r>
        <w:rPr>
          <w:rFonts w:ascii="Times New Roman" w:hAnsi="Times New Roman"/>
          <w:b w:val="0"/>
          <w:i w:val="0"/>
          <w:sz w:val="24"/>
        </w:rPr>
        <w:t xml:space="preserve"> Истец ссылается на [общего участника / родственные связи], однако закон не запрещает сделки между связанными лицами; значение имеет только то, исполнена ли сделка.</w:t>
      </w:r>
    </w:p>
    <w:p>
      <w:pPr>
        <w:spacing w:after="120" w:line="276" w:lineRule="auto"/>
        <w:ind w:firstLine="709"/>
        <w:jc w:val="both"/>
      </w:pPr>
      <w:r>
        <w:rPr>
          <w:rFonts w:ascii="Times New Roman" w:hAnsi="Times New Roman"/>
          <w:b/>
          <w:i w:val="0"/>
          <w:sz w:val="24"/>
        </w:rPr>
        <w:t>У истца нет охраняемого законом интереса.</w:t>
      </w:r>
      <w:r>
        <w:rPr>
          <w:rFonts w:ascii="Times New Roman" w:hAnsi="Times New Roman"/>
          <w:b w:val="0"/>
          <w:i w:val="0"/>
          <w:sz w:val="24"/>
        </w:rPr>
        <w:t xml:space="preserve"> Абзацем вторым пункта 3 статьи 166 ГК РФ установлено: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 Истец [не является стороной сделки и не кредитор стороны / его требования к стороне погашены] — признание сделки недействительной не восстановит никаких его прав.</w:t>
      </w:r>
    </w:p>
    <w:p>
      <w:pPr>
        <w:spacing w:after="120" w:line="276" w:lineRule="auto"/>
        <w:ind w:firstLine="709"/>
        <w:jc w:val="both"/>
      </w:pPr>
      <w:r>
        <w:rPr>
          <w:rFonts w:ascii="Times New Roman" w:hAnsi="Times New Roman"/>
          <w:b/>
          <w:i w:val="0"/>
          <w:sz w:val="24"/>
        </w:rPr>
        <w:t>Истец действует недобросовестно.</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[Иск подан с целью оказать давление на ответчика в корпоративном конфликте / после проигрыша в споре о том же имуществе.]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трёхлетний срок по ничтожной сделке.</w:t>
      </w:r>
      <w:r>
        <w:rPr>
          <w:rFonts w:ascii="Times New Roman" w:hAnsi="Times New Roman"/>
          <w:b w:val="0"/>
          <w:i w:val="0"/>
          <w:sz w:val="24"/>
        </w:rPr>
        <w:t xml:space="preserve">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Исполнение сделки началось «[дата]» [и истец является её стороной];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170, 181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сделки недействительной и применении последствий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об исполнении сделки (акты, платёжные поручения, выписка из ЕГРН, документы об использовании имущества).</w:t>
      </w:r>
    </w:p>
    <w:p>
      <w:pPr>
        <w:spacing w:after="40" w:line="276" w:lineRule="auto"/>
        <w:jc w:val="left"/>
      </w:pPr>
      <w:r>
        <w:rPr>
          <w:rFonts w:ascii="Times New Roman" w:hAnsi="Times New Roman"/>
          <w:b w:val="0"/>
          <w:i w:val="0"/>
          <w:sz w:val="24"/>
        </w:rPr>
        <w:t>3. Отчёт о рыночной стоимости, документы об экономической цели сделки.</w:t>
      </w:r>
    </w:p>
    <w:p>
      <w:pPr>
        <w:spacing w:after="40" w:line="276" w:lineRule="auto"/>
        <w:jc w:val="left"/>
      </w:pPr>
      <w:r>
        <w:rPr>
          <w:rFonts w:ascii="Times New Roman" w:hAnsi="Times New Roman"/>
          <w:b w:val="0"/>
          <w:i w:val="0"/>
          <w:sz w:val="24"/>
        </w:rPr>
        <w:t>4. Налоговые декларации и бухгалтерская отчётность, отражающие сделку.</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Главное доказательство против мнимости — реальное исполнение и поведение сторон после сделки: использование имущества, расходы на него, налоги, расчёты. Соберите их максимально полно.</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