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поставщик (подрядчик, исполнитель)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государственный (муниципальный) 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недействительным решения заказчика об одностороннем отказе от исполнения контракта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признании недействительным решения от «[дата]» № [__] об одностороннем отказе от исполнения контракта от «[дата]» № [__] (ИКЗ [__]).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Право на односторонний отказ предусмотрено контрактом и основано на Гражданском кодексе.</w:t>
      </w:r>
      <w:r>
        <w:rPr>
          <w:rFonts w:ascii="Times New Roman" w:hAnsi="Times New Roman"/>
          <w:b w:val="0"/>
          <w:i w:val="0"/>
          <w:sz w:val="24"/>
        </w:rPr>
        <w:t xml:space="preserve"> Частью 9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установлено: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Пунктом [__] контракта право на отказ предусмотрено. Основание — [пункт 2 статьи 715 ГК РФ: подрядчик выполнял работу настолько медленно, что окончание её к сроку стало явно невозможным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 статья 523 ГК РФ: неоднократное нарушение сроков поставки].</w:t>
      </w:r>
    </w:p>
    <w:p>
      <w:pPr>
        <w:spacing w:after="120" w:line="276" w:lineRule="auto"/>
        <w:ind w:firstLine="709"/>
        <w:jc w:val="both"/>
      </w:pPr>
      <w:r>
        <w:rPr>
          <w:rFonts w:ascii="Times New Roman" w:hAnsi="Times New Roman"/>
          <w:b/>
          <w:i w:val="0"/>
          <w:sz w:val="24"/>
        </w:rPr>
        <w:t>Нарушения подрядчика доказаны.</w:t>
      </w:r>
      <w:r>
        <w:rPr>
          <w:rFonts w:ascii="Times New Roman" w:hAnsi="Times New Roman"/>
          <w:b w:val="0"/>
          <w:i w:val="0"/>
          <w:sz w:val="24"/>
        </w:rPr>
        <w:t xml:space="preserve"> На дату отказа выполнено [__] % работ при истёкших [__] % срока; [акты проверок, предписания, переписка, фото]. Частью 3 статьи 94 Закона № 44-ФЗ установлено: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настоящим Федеральным законом.» Экспертиза [силами заказчика / с привлечением [наименование экспертной организации]] выявила несоответствия: [перечень], что подтверждается заключением от «[дата]».</w:t>
      </w:r>
    </w:p>
    <w:p>
      <w:pPr>
        <w:spacing w:after="120" w:line="276" w:lineRule="auto"/>
        <w:ind w:firstLine="709"/>
        <w:jc w:val="both"/>
      </w:pPr>
      <w:r>
        <w:rPr>
          <w:rFonts w:ascii="Times New Roman" w:hAnsi="Times New Roman"/>
          <w:b/>
          <w:i w:val="0"/>
          <w:sz w:val="24"/>
        </w:rPr>
        <w:t>Процедура отказа соблюдена.</w:t>
      </w:r>
      <w:r>
        <w:rPr>
          <w:rFonts w:ascii="Times New Roman" w:hAnsi="Times New Roman"/>
          <w:b w:val="0"/>
          <w:i w:val="0"/>
          <w:sz w:val="24"/>
        </w:rPr>
        <w:t xml:space="preserve"> Решение размещено в ЕИС «[дата]», подрядчик уведомлён надлежащим образом. Частью 13 статьи 95 Закона № 44-ФЗ установлено: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 Частью 14 той же статьи: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настоящей статьи.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В течение десяти дней нарушения не устранены [работы не возобновлены, график не восстановлен], поэтому решение вступило в силу и контракт расторгнут «[дата]».</w:t>
      </w:r>
    </w:p>
    <w:p>
      <w:pPr>
        <w:spacing w:after="120" w:line="276" w:lineRule="auto"/>
        <w:ind w:firstLine="709"/>
        <w:jc w:val="both"/>
      </w:pPr>
      <w:r>
        <w:rPr>
          <w:rFonts w:ascii="Times New Roman" w:hAnsi="Times New Roman"/>
          <w:b/>
          <w:i w:val="0"/>
          <w:sz w:val="24"/>
        </w:rPr>
        <w:t>Вины заказчика нет.</w:t>
      </w:r>
      <w:r>
        <w:rPr>
          <w:rFonts w:ascii="Times New Roman" w:hAnsi="Times New Roman"/>
          <w:b w:val="0"/>
          <w:i w:val="0"/>
          <w:sz w:val="24"/>
        </w:rPr>
        <w:t xml:space="preserve"> Истец ссылается на просрочку заказчика (пункт 3 статьи 405 ГК РФ: «Должник не считается просрочившим, пока обязательство не может быть исполнено вследствие просрочки кредитора.»), однако [площадка и документация переданы в срок — акты от «[дата]»; приостановление работ подрядчиком не оформлялось; предупреждений по статье 716 ГК РФ заказчик не получал].</w:t>
      </w:r>
    </w:p>
    <w:p>
      <w:pPr>
        <w:spacing w:after="120" w:line="276" w:lineRule="auto"/>
        <w:ind w:firstLine="709"/>
        <w:jc w:val="both"/>
      </w:pPr>
      <w:r>
        <w:rPr>
          <w:rFonts w:ascii="Times New Roman" w:hAnsi="Times New Roman"/>
          <w:b/>
          <w:i w:val="0"/>
          <w:sz w:val="24"/>
        </w:rPr>
        <w:t>Отказ совершён добросовестно.</w:t>
      </w:r>
      <w:r>
        <w:rPr>
          <w:rFonts w:ascii="Times New Roman" w:hAnsi="Times New Roman"/>
          <w:b w:val="0"/>
          <w:i w:val="0"/>
          <w:sz w:val="24"/>
        </w:rPr>
        <w:t xml:space="preserve"> Пунктом 4 статьи 450.1 ГК РФ установлено: «Сторона,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законами, иными правовыми актами или договором.» Заказчик неоднократно предлагал подрядчику устранить нарушения (письма от «[дата]») и принял решение лишь при очевидном срыве сроков, угрожающем [вводу объекта / освоению бюджетных средств].</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Признание решения недействительным не восстановит прав истца.</w:t>
      </w:r>
      <w:r>
        <w:rPr>
          <w:rFonts w:ascii="Times New Roman" w:hAnsi="Times New Roman"/>
          <w:b w:val="0"/>
          <w:i w:val="0"/>
          <w:sz w:val="24"/>
        </w:rPr>
        <w:t xml:space="preserve"> Контракт расторгнут, по нему заключён новый контракт [с [наименование] по итогам закупки ИКЗ [__]], работы [завершаются / завершены]. Истец не указал, какое его право будет восстановлено признанием отказа недействительным.</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405, 450.1, 715 ГК РФ, статьями 94, 95 Закона № 44-ФЗ,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признании недействительным решения об одностороннем отказе от исполнения контракта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Контракт (условие об одностороннем отказе), график исполнения.</w:t>
      </w:r>
    </w:p>
    <w:p>
      <w:pPr>
        <w:spacing w:after="40" w:line="276" w:lineRule="auto"/>
        <w:jc w:val="left"/>
      </w:pPr>
      <w:r>
        <w:rPr>
          <w:rFonts w:ascii="Times New Roman" w:hAnsi="Times New Roman"/>
          <w:b w:val="0"/>
          <w:i w:val="0"/>
          <w:sz w:val="24"/>
        </w:rPr>
        <w:t>3. Решение об одностороннем отказе, документы о его размещении в ЕИС и уведомлении подрядчика.</w:t>
      </w:r>
    </w:p>
    <w:p>
      <w:pPr>
        <w:spacing w:after="40" w:line="276" w:lineRule="auto"/>
        <w:jc w:val="left"/>
      </w:pPr>
      <w:r>
        <w:rPr>
          <w:rFonts w:ascii="Times New Roman" w:hAnsi="Times New Roman"/>
          <w:b w:val="0"/>
          <w:i w:val="0"/>
          <w:sz w:val="24"/>
        </w:rPr>
        <w:t>4. Акты проверок, предписания, переписка о нарушениях, заключение экспертизы.</w:t>
      </w:r>
    </w:p>
    <w:p>
      <w:pPr>
        <w:spacing w:after="40" w:line="276" w:lineRule="auto"/>
        <w:jc w:val="left"/>
      </w:pPr>
      <w:r>
        <w:rPr>
          <w:rFonts w:ascii="Times New Roman" w:hAnsi="Times New Roman"/>
          <w:b w:val="0"/>
          <w:i w:val="0"/>
          <w:sz w:val="24"/>
        </w:rPr>
        <w:t>5. Документы о передаче площадки и документации.</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Решение об одностороннем отказе часто влечёт включение подрядчика в реестр недобросовестных поставщиков; ФАС проверяет добросовестность обеих сторон. Подготовьте доказательства в том же объёме, что и для ФАС.</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