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наниматель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собственник жилищного фонда (администрация, ведомство)</w:t>
      </w:r>
      <w:r>
        <w:rPr>
          <w:rFonts w:ascii="Times New Roman" w:hAnsi="Times New Roman"/>
          <w:b w:val="0"/>
          <w:i w:val="0"/>
          <w:sz w:val="24"/>
        </w:rPr>
        <w:br/>
        <w:t>[администрация / наймодатель — 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права собственности на жилое помещение в порядке приватизации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за истцом права собственности на жилое помещение по адресу: [адрес] в порядке приватизации.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Приватизации подлежат лишь помещения, занимаемые по договору социального найма.</w:t>
      </w:r>
      <w:r>
        <w:rPr>
          <w:rFonts w:ascii="Times New Roman" w:hAnsi="Times New Roman"/>
          <w:b w:val="0"/>
          <w:i w:val="0"/>
          <w:sz w:val="24"/>
        </w:rPr>
        <w:t xml:space="preserve"> Частью 1 статьи 60 Жилищного кодекса Российской Федерации (далее — ЖК РФ) установлено: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 Статьёй 2 Закона РФ от 04.07.1991 № 1541-1 «О приватизации жилищного фонда в Российской Федерации» (далее — Закон о приватизации) установлено: «Граждане Российской Федерации, имеющие право пользования жилыми помещениями государственного или муниципального жилищного фонда на условиях социального найма, вправе приобрести их на условиях, предусмотренных настоящим Законом, иными нормативными правовыми актами Российской Федерации и нормативными правовыми актами субъектов Российской Федерации, в общую собственность либо в собственность одного лица, в том числе несовершеннолетнего, с согласия всех имеющих право на приватизацию данных жилых помещений совершеннолетних лиц и несовершеннолетних в возрасте от 14 до 18 лет.» Истец занимает помещение [по договору найма служебного помещения / в общежитии / по договору коммерческого найма], а не по договору социального найма.</w:t>
      </w:r>
    </w:p>
    <w:p>
      <w:pPr>
        <w:spacing w:after="120" w:line="276" w:lineRule="auto"/>
        <w:ind w:firstLine="709"/>
        <w:jc w:val="both"/>
      </w:pPr>
      <w:r>
        <w:rPr>
          <w:rFonts w:ascii="Times New Roman" w:hAnsi="Times New Roman"/>
          <w:b/>
          <w:i w:val="0"/>
          <w:sz w:val="24"/>
        </w:rPr>
        <w:t>Служебные помещения и общежития приватизации не подлежат.</w:t>
      </w:r>
      <w:r>
        <w:rPr>
          <w:rFonts w:ascii="Times New Roman" w:hAnsi="Times New Roman"/>
          <w:b w:val="0"/>
          <w:i w:val="0"/>
          <w:sz w:val="24"/>
        </w:rPr>
        <w:t xml:space="preserve"> Частью 1 статьи 92 ЖК РФ установлено: «К жилым помещениям специализированного жилищного фонда (далее - специализированные жилые помещения) относятся:» «служебные жилые помещения» «жилые помещения в общежитиях» Частью 3 той же статьи: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 Помещение отнесено к [служебным] постановлением от «[дата]» № __; статус не снят. Статьёй 4 Закона о приватизации установлено: «Не подлежат приватизации жилые помещения, находящиеся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находящийся в сельской местности жилищный фонд стационарных учреждений социальной защиты населения.»</w:t>
      </w:r>
    </w:p>
    <w:p>
      <w:pPr>
        <w:spacing w:after="120" w:line="276" w:lineRule="auto"/>
        <w:ind w:firstLine="709"/>
        <w:jc w:val="both"/>
      </w:pPr>
      <w:r>
        <w:rPr>
          <w:rFonts w:ascii="Times New Roman" w:hAnsi="Times New Roman"/>
          <w:b/>
          <w:i w:val="0"/>
          <w:sz w:val="24"/>
        </w:rPr>
        <w:t>Истец уже использовал право на бесплатную приватизацию.</w:t>
      </w:r>
      <w:r>
        <w:rPr>
          <w:rFonts w:ascii="Times New Roman" w:hAnsi="Times New Roman"/>
          <w:b w:val="0"/>
          <w:i w:val="0"/>
          <w:sz w:val="24"/>
        </w:rPr>
        <w:t xml:space="preserve"> Статьёй 11 Закона о приватизации установлено: «Каждый гражданин имеет право на приобретение в собственность бесплатно, в порядке приватизации, жилого помещения в государственном и муниципальном жилищном фонде социального использования один раз.» Истец [участвовал в приватизации квартиры по адресу __ в [год] — договор передачи от «[дата]»], что подтверждается [справкой БТИ / выпиской ЕГРН / ответом органа].</w:t>
      </w:r>
    </w:p>
    <w:p>
      <w:pPr>
        <w:spacing w:after="120" w:line="276" w:lineRule="auto"/>
        <w:ind w:firstLine="709"/>
        <w:jc w:val="both"/>
      </w:pPr>
      <w:r>
        <w:rPr>
          <w:rFonts w:ascii="Times New Roman" w:hAnsi="Times New Roman"/>
          <w:b/>
          <w:i w:val="0"/>
          <w:sz w:val="24"/>
        </w:rPr>
        <w:t>Не получено согласие всех членов семьи нанимателя.</w:t>
      </w:r>
      <w:r>
        <w:rPr>
          <w:rFonts w:ascii="Times New Roman" w:hAnsi="Times New Roman"/>
          <w:b w:val="0"/>
          <w:i w:val="0"/>
          <w:sz w:val="24"/>
        </w:rPr>
        <w:t xml:space="preserve"> Приватизация допускается с согласия всех совместно проживающих совершеннолетних членов семьи нанимателя. Частью 2 статьи 69 ЖК РФ установлено: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В помещении зарегистрирован [Ф. И. О.], который своего согласия не давал и права пользования не утратил; иск предъявлен без его участия.</w:t>
      </w:r>
    </w:p>
    <w:p>
      <w:pPr>
        <w:spacing w:after="120" w:line="276" w:lineRule="auto"/>
        <w:ind w:firstLine="709"/>
        <w:jc w:val="both"/>
      </w:pPr>
      <w:r>
        <w:rPr>
          <w:rFonts w:ascii="Times New Roman" w:hAnsi="Times New Roman"/>
          <w:b/>
          <w:i w:val="0"/>
          <w:sz w:val="24"/>
        </w:rPr>
        <w:t>Порядок приватизации не соблюдён.</w:t>
      </w:r>
      <w:r>
        <w:rPr>
          <w:rFonts w:ascii="Times New Roman" w:hAnsi="Times New Roman"/>
          <w:b w:val="0"/>
          <w:i w:val="0"/>
          <w:sz w:val="24"/>
        </w:rPr>
        <w:t xml:space="preserve"> Истец не обращался к ответчику с заявлением о приватизации и необходимыми документами [либо обратился без справок о неучастии в приватизации с прежних мест жительства за период с 1991 года]. Отказа в приватизации ответчик не давал, спора о праве нет; суд не может подменять административную процедуру.</w:t>
      </w:r>
    </w:p>
    <w:p>
      <w:pPr>
        <w:spacing w:after="120" w:line="276" w:lineRule="auto"/>
        <w:ind w:firstLine="709"/>
        <w:jc w:val="both"/>
      </w:pPr>
      <w:r>
        <w:rPr>
          <w:rFonts w:ascii="Times New Roman" w:hAnsi="Times New Roman"/>
          <w:b/>
          <w:i w:val="0"/>
          <w:sz w:val="24"/>
        </w:rPr>
        <w:t>Права на помещение возникают из законных оснований.</w:t>
      </w:r>
      <w:r>
        <w:rPr>
          <w:rFonts w:ascii="Times New Roman" w:hAnsi="Times New Roman"/>
          <w:b w:val="0"/>
          <w:i w:val="0"/>
          <w:sz w:val="24"/>
        </w:rPr>
        <w:t xml:space="preserve"> Пунктом 2 статьи 218 Гражданского кодекса Российской Федерации установлено: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 Решения о предоставлении истцу помещения по договору социального найма не принималось.</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Документы о вселении, приложенные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60, 69, 92 ЖК РФ, статьёй 218 ГК РФ, статьями 2, 4, 11 Закона РФ «О приватизации жилищного фонда в Российской Федерации»,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права собственности в порядке приватизации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Постановление об отнесении помещения к специализированному фонду, выписка из реестра.</w:t>
      </w:r>
    </w:p>
    <w:p>
      <w:pPr>
        <w:spacing w:after="40" w:line="276" w:lineRule="auto"/>
        <w:jc w:val="left"/>
      </w:pPr>
      <w:r>
        <w:rPr>
          <w:rFonts w:ascii="Times New Roman" w:hAnsi="Times New Roman"/>
          <w:b w:val="0"/>
          <w:i w:val="0"/>
          <w:sz w:val="24"/>
        </w:rPr>
        <w:t>3. Сведения об участии истца в приватизации ранее (договор передачи, выписка ЕГРН, справка БТИ).</w:t>
      </w:r>
    </w:p>
    <w:p>
      <w:pPr>
        <w:spacing w:after="40" w:line="276" w:lineRule="auto"/>
        <w:jc w:val="left"/>
      </w:pPr>
      <w:r>
        <w:rPr>
          <w:rFonts w:ascii="Times New Roman" w:hAnsi="Times New Roman"/>
          <w:b w:val="0"/>
          <w:i w:val="0"/>
          <w:sz w:val="24"/>
        </w:rPr>
        <w:t>4. Поквартирная карточка / сведения о зарегистрированных лицах.</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Отзыв рассчитан на собственника жилищного фонда. Ключевые доводы — специализированный статус помещения, повторная приватизация, отсутствие согласия членов семьи.</w:t>
      </w:r>
    </w:p>
    <w:p>
      <w:pPr>
        <w:spacing w:after="40" w:line="276" w:lineRule="auto"/>
        <w:jc w:val="both"/>
      </w:pPr>
      <w:r>
        <w:rPr>
          <w:rFonts w:ascii="Times New Roman" w:hAnsi="Times New Roman"/>
          <w:b w:val="0"/>
          <w:i/>
          <w:sz w:val="24"/>
        </w:rPr>
        <w:t>— Если помещение в общежитии, переданном муниципалитету, суды обычно признают право приватизации (ст. 7 ФЗ № 189-ФЗ) — проверьте историю дома.</w:t>
      </w:r>
    </w:p>
    <w:p>
      <w:pPr>
        <w:spacing w:after="40" w:line="276" w:lineRule="auto"/>
        <w:jc w:val="both"/>
      </w:pPr>
      <w:r>
        <w:rPr>
          <w:rFonts w:ascii="Times New Roman" w:hAnsi="Times New Roman"/>
          <w:b w:val="0"/>
          <w:i/>
          <w:sz w:val="24"/>
        </w:rPr>
        <w:t>— Бесплатная приватизация бессрочна (ст. 2 ФЗ № 189-ФЗ в ред. ФЗ от 22.02.2017 № 14-ФЗ); статьи 2, 4, 11 Закона о приватизации приведены дословно.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