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наследник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наследник / администрация (ТУ Росимущества)</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w:t>
      </w:r>
      <w:r>
        <w:rPr>
          <w:rFonts w:ascii="Times New Roman" w:hAnsi="Times New Roman"/>
          <w:b w:val="0"/>
          <w:i w:val="0"/>
          <w:sz w:val="24"/>
        </w:rPr>
        <w:br/>
        <w:t>адрес: [адрес нотариальной конторы]</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права собственности в порядке наследования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за истцом права собственности на [имущество] в порядке наследования после смерти [Ф. И. О. наследодателя], умершего «[дата]».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Право собственности переходит к наследнику лишь при соблюдении условий наследования.</w:t>
      </w:r>
      <w:r>
        <w:rPr>
          <w:rFonts w:ascii="Times New Roman" w:hAnsi="Times New Roman"/>
          <w:b w:val="0"/>
          <w:i w:val="0"/>
          <w:sz w:val="24"/>
        </w:rPr>
        <w:t xml:space="preserve"> Абзацем вторым пункта 2 статьи 218 Гражданского кодекса Российской Федерации (далее — ГК РФ) установлено: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 Пунктом 1 статьи 1110 ГК РФ: «При наследовании имущество умершего (наследство, наследственное имущество) переходит к другим лицам в порядке универсального правопреемства, то есть в неизменном виде как единое целое и в один и тот же момент, если из правил настоящего Кодекса не следует иное.» Истец должен доказать три обстоятельства: принадлежность имущества наследодателю, своё право на наследство (по закону или завещанию) и принятие наследства. Ни одно из них не доказано в полной мере.</w:t>
      </w:r>
    </w:p>
    <w:p>
      <w:pPr>
        <w:spacing w:after="120" w:line="276" w:lineRule="auto"/>
        <w:ind w:firstLine="709"/>
        <w:jc w:val="both"/>
      </w:pPr>
      <w:r>
        <w:rPr>
          <w:rFonts w:ascii="Times New Roman" w:hAnsi="Times New Roman"/>
          <w:b/>
          <w:i w:val="0"/>
          <w:sz w:val="24"/>
        </w:rPr>
        <w:t>Принадлежность имущества наследодателю не подтверждена.</w:t>
      </w:r>
      <w:r>
        <w:rPr>
          <w:rFonts w:ascii="Times New Roman" w:hAnsi="Times New Roman"/>
          <w:b w:val="0"/>
          <w:i w:val="0"/>
          <w:sz w:val="24"/>
        </w:rPr>
        <w:t xml:space="preserve"> [Право наследодателя на [объект] не зарегистрировано в ЕГРН; представленные документы (членская книжка, справка, договор без регистрации) не подтверждают права собственности (пункт 1 статьи 131 ГК РФ: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 / объект является самовольной постройкой и не может переходить по наследству как объект права собственности].</w:t>
      </w:r>
    </w:p>
    <w:p>
      <w:pPr>
        <w:spacing w:after="120" w:line="276" w:lineRule="auto"/>
        <w:ind w:firstLine="709"/>
        <w:jc w:val="both"/>
      </w:pPr>
      <w:r>
        <w:rPr>
          <w:rFonts w:ascii="Times New Roman" w:hAnsi="Times New Roman"/>
          <w:b/>
          <w:i w:val="0"/>
          <w:sz w:val="24"/>
        </w:rPr>
        <w:t>Истец не является наследником или не единственный наследник.</w:t>
      </w:r>
      <w:r>
        <w:rPr>
          <w:rFonts w:ascii="Times New Roman" w:hAnsi="Times New Roman"/>
          <w:b w:val="0"/>
          <w:i w:val="0"/>
          <w:sz w:val="24"/>
        </w:rPr>
        <w:t xml:space="preserve"> Наследование осуществляется по завещанию и по закону (статья 1111 ГК РФ: «Наследование осуществляется по завещанию, по наследственному договору и по закону.»). Наследником первой очереди наряду с истцом является ответчик (пункт 1 статьи 1142 ГК РФ: «Наследниками первой очереди по закону являются дети, супруг и родители наследодателя.»); наследники одной очереди наследуют в равных долях (пункт 2 статьи 1141 ГК РФ: «Наследники одной очереди наследуют в равных долях, за исключением наследников, наследующих по праву представления (статья 1146).»). Признание права на всё имущество за истцом нарушит права ответчика.</w:t>
      </w:r>
    </w:p>
    <w:p>
      <w:pPr>
        <w:spacing w:after="120" w:line="276" w:lineRule="auto"/>
        <w:ind w:firstLine="709"/>
        <w:jc w:val="both"/>
      </w:pPr>
      <w:r>
        <w:rPr>
          <w:rFonts w:ascii="Times New Roman" w:hAnsi="Times New Roman"/>
          <w:b/>
          <w:i w:val="0"/>
          <w:sz w:val="24"/>
        </w:rPr>
        <w:t>Истец не принял наследство в установленный срок.</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Пунктом 1 статьи 1154 ГК РФ: «Наследство может быть принято в течение шести месяцев со дня открытия наследства.» Истец к нотариусу не обращался, действий по фактическому принятию наследства в течение шести месяцев не совершал [указать, почему действия, на которые он ссылается, не подходят].</w:t>
      </w:r>
    </w:p>
    <w:p>
      <w:pPr>
        <w:spacing w:after="120" w:line="276" w:lineRule="auto"/>
        <w:ind w:firstLine="709"/>
        <w:jc w:val="both"/>
      </w:pPr>
      <w:r>
        <w:rPr>
          <w:rFonts w:ascii="Times New Roman" w:hAnsi="Times New Roman"/>
          <w:b/>
          <w:i w:val="0"/>
          <w:sz w:val="24"/>
        </w:rPr>
        <w:t>Ответчик принял наследство в установленном порядке.</w:t>
      </w:r>
      <w:r>
        <w:rPr>
          <w:rFonts w:ascii="Times New Roman" w:hAnsi="Times New Roman"/>
          <w:b w:val="0"/>
          <w:i w:val="0"/>
          <w:sz w:val="24"/>
        </w:rPr>
        <w:t xml:space="preserve"> Пунктом 1 статьи 1153 Гражданского кодекса Российской Федерации (далее — ГК РФ) установлено: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Согласно пункту 2 той же статьи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Ответчик [подал нотариусу заявление о принятии наследства «[дата]» / в течение шести месяцев вступил во владение наследственным имуществом: проживал в квартире, оплачивал коммунальные услуги, забрал личные вещи наследодателя].</w:t>
      </w:r>
    </w:p>
    <w:p>
      <w:pPr>
        <w:spacing w:after="120" w:line="276" w:lineRule="auto"/>
        <w:ind w:firstLine="709"/>
        <w:jc w:val="both"/>
      </w:pPr>
      <w:r>
        <w:rPr>
          <w:rFonts w:ascii="Times New Roman" w:hAnsi="Times New Roman"/>
          <w:b/>
          <w:i w:val="0"/>
          <w:sz w:val="24"/>
        </w:rPr>
        <w:t>Обращение в суд без обращения к нотариусу.</w:t>
      </w:r>
      <w:r>
        <w:rPr>
          <w:rFonts w:ascii="Times New Roman" w:hAnsi="Times New Roman"/>
          <w:b w:val="0"/>
          <w:i w:val="0"/>
          <w:sz w:val="24"/>
        </w:rPr>
        <w:t xml:space="preserve"> Истец не получил отказа нотариуса в выдаче свидетельства о праве на наследство и не указал препятствий к оформлению наследства в обычном порядке. [Суд не должен подменять нотариуса, если спора о праве нет.]</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ГК РФ установлено: «Общий срок исковой давности составляет три года со дня, определяемого в соответствии со статьей 200 настоящего Кодекса.» Об открытии наследства и о своих правах истец узнал не позднее «[дата]» [похороны наследодателя / получение извещения нотариуса / разговор с ответчиком];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131, 218, 1110, 1111, 1141, 1142, 1152–1154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права собственности в порядке наследования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Признать за истцом право собственности лишь на [__] долю в праве на [имущество] с учётом прав ответчика как наследника той же очереди.</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Документы, подтверждающие родство ответчика с наследодателем.</w:t>
      </w:r>
    </w:p>
    <w:p>
      <w:pPr>
        <w:spacing w:after="40" w:line="276" w:lineRule="auto"/>
        <w:jc w:val="left"/>
      </w:pPr>
      <w:r>
        <w:rPr>
          <w:rFonts w:ascii="Times New Roman" w:hAnsi="Times New Roman"/>
          <w:b w:val="0"/>
          <w:i w:val="0"/>
          <w:sz w:val="24"/>
        </w:rPr>
        <w:t>3. Справка нотариуса о наследственном деле / свидетельство о праве на наследство ответчика.</w:t>
      </w:r>
    </w:p>
    <w:p>
      <w:pPr>
        <w:spacing w:after="40" w:line="276" w:lineRule="auto"/>
        <w:jc w:val="left"/>
      </w:pPr>
      <w:r>
        <w:rPr>
          <w:rFonts w:ascii="Times New Roman" w:hAnsi="Times New Roman"/>
          <w:b w:val="0"/>
          <w:i w:val="0"/>
          <w:sz w:val="24"/>
        </w:rPr>
        <w:t>4. Выписка ЕГРН на спорный объект.</w:t>
      </w:r>
    </w:p>
    <w:p>
      <w:pPr>
        <w:spacing w:after="40" w:line="276" w:lineRule="auto"/>
        <w:jc w:val="left"/>
      </w:pPr>
      <w:r>
        <w:rPr>
          <w:rFonts w:ascii="Times New Roman" w:hAnsi="Times New Roman"/>
          <w:b w:val="0"/>
          <w:i w:val="0"/>
          <w:sz w:val="24"/>
        </w:rPr>
        <w:t>5. Доказательства принятия наследства ответчиком.</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три условия: имущество принадлежало наследодателю, истец — наследник, наследство принято в срок. Отсутствие любого из них ведёт к отказу.</w:t>
      </w:r>
    </w:p>
    <w:p>
      <w:pPr>
        <w:spacing w:after="40" w:line="276" w:lineRule="auto"/>
        <w:jc w:val="both"/>
      </w:pPr>
      <w:r>
        <w:rPr>
          <w:rFonts w:ascii="Times New Roman" w:hAnsi="Times New Roman"/>
          <w:b w:val="0"/>
          <w:i/>
          <w:sz w:val="24"/>
        </w:rPr>
        <w:t>— Если вы такой же наследник, как истец, просите признать за ним лишь его долю, а свою долю заявите встречным иском.</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