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лицо, оспаривающее сделку</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сторона сделки</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сделки недействительной как притворной и применении к ней правил прикрываемой сделки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признании недействительным как притворного договора [наименование] от «[дата]» № [__], прикрывающего, по утверждению истца, [дарение / иную сделку на других условиях], и применении правил прикрываемой сделки.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Воля обеих сторон была направлена именно на совершённую сделку.</w:t>
      </w:r>
      <w:r>
        <w:rPr>
          <w:rFonts w:ascii="Times New Roman" w:hAnsi="Times New Roman"/>
          <w:b w:val="0"/>
          <w:i w:val="0"/>
          <w:sz w:val="24"/>
        </w:rPr>
        <w:t xml:space="preserve"> Пунктом 2 статьи 170 ГК РФ установлено: «Притворная сделка,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 Для притворности истец должен доказать, что обе стороны в действительности имели в виду другую сделку. Условия договора исполнены так, как в нём указано: [цена уплачена полностью — платёжные поручения / товар передан / работы приняты]; иной общей воли сторон не было.</w:t>
      </w:r>
    </w:p>
    <w:p>
      <w:pPr>
        <w:spacing w:after="120" w:line="276" w:lineRule="auto"/>
        <w:ind w:firstLine="709"/>
        <w:jc w:val="both"/>
      </w:pPr>
      <w:r>
        <w:rPr>
          <w:rFonts w:ascii="Times New Roman" w:hAnsi="Times New Roman"/>
          <w:b/>
          <w:i w:val="0"/>
          <w:sz w:val="24"/>
        </w:rPr>
        <w:t>Цепочка сделок имеет самостоятельную экономическую цель.</w:t>
      </w:r>
      <w:r>
        <w:rPr>
          <w:rFonts w:ascii="Times New Roman" w:hAnsi="Times New Roman"/>
          <w:b w:val="0"/>
          <w:i w:val="0"/>
          <w:sz w:val="24"/>
        </w:rPr>
        <w:t xml:space="preserve"> Истец объединяет [договоры № [__] и № [__]] в одну «прикрываемую» сделку, однако каждая из них имела собственную цель [получение финансирования, привлечение инвестора, реструктуризация активов группы], заключена с разными лицами в разное время и исполнена отдельно.</w:t>
      </w:r>
    </w:p>
    <w:p>
      <w:pPr>
        <w:spacing w:after="120" w:line="276" w:lineRule="auto"/>
        <w:ind w:firstLine="709"/>
        <w:jc w:val="both"/>
      </w:pPr>
      <w:r>
        <w:rPr>
          <w:rFonts w:ascii="Times New Roman" w:hAnsi="Times New Roman"/>
          <w:b/>
          <w:i w:val="0"/>
          <w:sz w:val="24"/>
        </w:rPr>
        <w:t>Применение правил прикрываемой сделки ничего не меняет для истца.</w:t>
      </w:r>
      <w:r>
        <w:rPr>
          <w:rFonts w:ascii="Times New Roman" w:hAnsi="Times New Roman"/>
          <w:b w:val="0"/>
          <w:i w:val="0"/>
          <w:sz w:val="24"/>
        </w:rPr>
        <w:t xml:space="preserve"> Даже если согласиться с доводами истца, прикрываемая сделка [действительна и исполнена], а истец не указал, какие его права будут восстановлены переквалификацией.</w:t>
      </w:r>
    </w:p>
    <w:p>
      <w:pPr>
        <w:spacing w:after="120" w:line="276" w:lineRule="auto"/>
        <w:ind w:firstLine="709"/>
        <w:jc w:val="both"/>
      </w:pPr>
      <w:r>
        <w:rPr>
          <w:rFonts w:ascii="Times New Roman" w:hAnsi="Times New Roman"/>
          <w:b/>
          <w:i w:val="0"/>
          <w:sz w:val="24"/>
        </w:rPr>
        <w:t>Сделка не нарушает прав истца.</w:t>
      </w:r>
      <w:r>
        <w:rPr>
          <w:rFonts w:ascii="Times New Roman" w:hAnsi="Times New Roman"/>
          <w:b w:val="0"/>
          <w:i w:val="0"/>
          <w:sz w:val="24"/>
        </w:rPr>
        <w:t xml:space="preserve"> Абзацем вторым пункта 2 статьи 166 ГК РФ установлено: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 Сделка совершена на рыночных условиях [заключение оценщика о рыночной цене], встречное предоставление получено в полном объёме; неблагоприятных последствий для истца не наступило.</w:t>
      </w:r>
    </w:p>
    <w:p>
      <w:pPr>
        <w:spacing w:after="120" w:line="276" w:lineRule="auto"/>
        <w:ind w:firstLine="709"/>
        <w:jc w:val="both"/>
      </w:pPr>
      <w:r>
        <w:rPr>
          <w:rFonts w:ascii="Times New Roman" w:hAnsi="Times New Roman"/>
          <w:b/>
          <w:i w:val="0"/>
          <w:sz w:val="24"/>
        </w:rPr>
        <w:t>Иск предъявлен недобросовестно.</w:t>
      </w:r>
      <w:r>
        <w:rPr>
          <w:rFonts w:ascii="Times New Roman" w:hAnsi="Times New Roman"/>
          <w:b w:val="0"/>
          <w:i w:val="0"/>
          <w:sz w:val="24"/>
        </w:rPr>
        <w:t xml:space="preserve"> Пунктом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[Истец сам участвовал в структурировании сделки и получил от неё выгоду.]</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трёхлетний срок по ничтожной сделке.</w:t>
      </w:r>
      <w:r>
        <w:rPr>
          <w:rFonts w:ascii="Times New Roman" w:hAnsi="Times New Roman"/>
          <w:b w:val="0"/>
          <w:i w:val="0"/>
          <w:sz w:val="24"/>
        </w:rPr>
        <w:t xml:space="preserve"> Пунктом 1 статьи 181 ГК РФ установлено: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Исполнение сделки началось «[дата]» [и истец является её стороной]; иск подан «[дата]». Пунктом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170, 181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признании сделки недействительной как притворной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Документы об исполнении сделки по её условиям (платежи, передача имущества, акты).</w:t>
      </w:r>
    </w:p>
    <w:p>
      <w:pPr>
        <w:spacing w:after="40" w:line="276" w:lineRule="auto"/>
        <w:jc w:val="left"/>
      </w:pPr>
      <w:r>
        <w:rPr>
          <w:rFonts w:ascii="Times New Roman" w:hAnsi="Times New Roman"/>
          <w:b w:val="0"/>
          <w:i w:val="0"/>
          <w:sz w:val="24"/>
        </w:rPr>
        <w:t>3. Документы об экономической цели каждой сделки в цепочке.</w:t>
      </w:r>
    </w:p>
    <w:p>
      <w:pPr>
        <w:spacing w:after="40" w:line="276" w:lineRule="auto"/>
        <w:jc w:val="left"/>
      </w:pPr>
      <w:r>
        <w:rPr>
          <w:rFonts w:ascii="Times New Roman" w:hAnsi="Times New Roman"/>
          <w:b w:val="0"/>
          <w:i w:val="0"/>
          <w:sz w:val="24"/>
        </w:rPr>
        <w:t>4.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5.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Притворность требует доказать общую волю обеих сторон на иную сделку; одностороннее намерение или выгода одной стороны этого не доказывают.</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