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общество</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контрагент по сделке</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сделки недействительной по пункту 1 статьи 174 ГК РФ</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недействительным договора от «[дата]» № [__], заключённого директором общества с нарушением ограничений его полномочий, установленных [уставом / решением участников], и применении последствий.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Ответчик не знал и не должен был знать об ограничениях полномочий.</w:t>
      </w:r>
      <w:r>
        <w:rPr>
          <w:rFonts w:ascii="Times New Roman" w:hAnsi="Times New Roman"/>
          <w:b w:val="0"/>
          <w:i w:val="0"/>
          <w:sz w:val="24"/>
        </w:rPr>
        <w:t xml:space="preserve"> Пунктом 1 статьи 174 ГК РФ установлено: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 Ограничение [требование согласия совета директоров на сделки свыше [сумма] рублей] содержится во внутреннем документе / уставе, который ответчику не предъявлялся. Сведения в ЕГРЮЛ ограничений не содержали; ответчик проверил полномочия директора по выписке из ЕГРЮЛ, как это делают добросовестные участники оборота.</w:t>
      </w:r>
    </w:p>
    <w:p>
      <w:pPr>
        <w:spacing w:after="120" w:line="276" w:lineRule="auto"/>
        <w:ind w:firstLine="709"/>
        <w:jc w:val="both"/>
      </w:pPr>
      <w:r>
        <w:rPr>
          <w:rFonts w:ascii="Times New Roman" w:hAnsi="Times New Roman"/>
          <w:b/>
          <w:i w:val="0"/>
          <w:sz w:val="24"/>
        </w:rPr>
        <w:t>Сделка одобрена или исполнена обществом.</w:t>
      </w:r>
      <w:r>
        <w:rPr>
          <w:rFonts w:ascii="Times New Roman" w:hAnsi="Times New Roman"/>
          <w:b w:val="0"/>
          <w:i w:val="0"/>
          <w:sz w:val="24"/>
        </w:rPr>
        <w:t xml:space="preserve"> Пунктом 2 статьи 183 ГК РФ установлено: «Последующее одобрение сделки представляемым создает, изменяет и прекращает для него гражданские права и обязанности по данной сделке с момента ее совершения.» [Общество приняло исполнение и оплатило его / совет директоров впоследствии одобрил сделку протоколом от «[дата]»]. Абзацем четвёртым пункта 2 статьи 166 ГК РФ установлено: «Сторона,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 Пунктом 5 той же статьи: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Истец [принял исполнение / оплатил / подписал акты и дополнительные соглашения / отразил сделку в отчётности] после того, как узнал об обстоятельствах, на которые теперь ссылается.</w:t>
      </w:r>
    </w:p>
    <w:p>
      <w:pPr>
        <w:spacing w:after="120" w:line="276" w:lineRule="auto"/>
        <w:ind w:firstLine="709"/>
        <w:jc w:val="both"/>
      </w:pPr>
      <w:r>
        <w:rPr>
          <w:rFonts w:ascii="Times New Roman" w:hAnsi="Times New Roman"/>
          <w:b/>
          <w:i w:val="0"/>
          <w:sz w:val="24"/>
        </w:rPr>
        <w:t>Сделка совершена в обычной хозяйственной деятельности.</w:t>
      </w:r>
      <w:r>
        <w:rPr>
          <w:rFonts w:ascii="Times New Roman" w:hAnsi="Times New Roman"/>
          <w:b w:val="0"/>
          <w:i w:val="0"/>
          <w:sz w:val="24"/>
        </w:rPr>
        <w:t xml:space="preserve"> Договор такого вида и объёма общество заключало регулярно [перечень аналогичных сделок]; ограничения, на которые ссылается истец, на такие сделки по смыслу устава не распространялись.</w:t>
      </w:r>
    </w:p>
    <w:p>
      <w:pPr>
        <w:spacing w:after="120" w:line="276" w:lineRule="auto"/>
        <w:ind w:firstLine="709"/>
        <w:jc w:val="both"/>
      </w:pPr>
      <w:r>
        <w:rPr>
          <w:rFonts w:ascii="Times New Roman" w:hAnsi="Times New Roman"/>
          <w:b/>
          <w:i w:val="0"/>
          <w:sz w:val="24"/>
        </w:rPr>
        <w:t>Сделка не нарушает прав истца.</w:t>
      </w:r>
      <w:r>
        <w:rPr>
          <w:rFonts w:ascii="Times New Roman" w:hAnsi="Times New Roman"/>
          <w:b w:val="0"/>
          <w:i w:val="0"/>
          <w:sz w:val="24"/>
        </w:rPr>
        <w:t xml:space="preserve"> Абзацем вторым пункта 2 статьи 166 ГК РФ установлено: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Сделка совершена на рыночных условиях [заключение оценщика о рыночной цене], встречное предоставление получено в полном объёме; неблагоприятных последствий для истца не наступило.</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исковой давности по оспоримой сделке.</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(должен был узнать) об обстоятельствах, являющихся основанием для признания сделки недействительной, не позднее «[дата]» [годовое общее собрание участников, утверждавшее отчётность, в которой отражена сделка / получение документов по сделке];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174, 181, 183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сделки недействительной и применении последствий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Выписка из ЕГРЮЛ на дату сделки (отсутствие сведений об ограничениях).</w:t>
      </w:r>
    </w:p>
    <w:p>
      <w:pPr>
        <w:spacing w:after="40" w:line="276" w:lineRule="auto"/>
        <w:jc w:val="left"/>
      </w:pPr>
      <w:r>
        <w:rPr>
          <w:rFonts w:ascii="Times New Roman" w:hAnsi="Times New Roman"/>
          <w:b w:val="0"/>
          <w:i w:val="0"/>
          <w:sz w:val="24"/>
        </w:rPr>
        <w:t>3. Документы об исполнении сделки обществом, протокол последующего одобрения [если есть].</w:t>
      </w:r>
    </w:p>
    <w:p>
      <w:pPr>
        <w:spacing w:after="40" w:line="276" w:lineRule="auto"/>
        <w:jc w:val="left"/>
      </w:pPr>
      <w:r>
        <w:rPr>
          <w:rFonts w:ascii="Times New Roman" w:hAnsi="Times New Roman"/>
          <w:b w:val="0"/>
          <w:i w:val="0"/>
          <w:sz w:val="24"/>
        </w:rPr>
        <w:t>4. Сведения об аналогичных сделках общества.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Пункт 1 ст. 174 ГК РФ защищает добросовестного контрагента: бремя доказать, что он знал об ограничениях, лежит на обществе. Если ограничения не были внесены в ЕГРЮЛ, это сильный довод.</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