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ресурсоснабжающая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управляющая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за коммунальные ресурсы, поставленные в многоквартирные дома, и пеней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по договору ресурсоснабжения от «[дата]» № [__] за [тепловую энергию / воду / электроэнергию], поставленную в многоквартирные дома по адресам: [адреса], за период с «[дата]» по «[дата]» в размере [сумма] рублей и пеней.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 объём включены помещения, собственники которых заключили прямые договоры с истцом.</w:t>
      </w:r>
      <w:r>
        <w:rPr>
          <w:rFonts w:ascii="Times New Roman" w:hAnsi="Times New Roman"/>
          <w:b w:val="0"/>
          <w:i w:val="0"/>
          <w:sz w:val="24"/>
        </w:rPr>
        <w:t xml:space="preserve"> С «[дата]» собственники помещений в домах [адреса] перешли на прямые договоры с ресурсоснабжающей организацией (решения общих собраний от «[дата]»); с этого момента управляющая организация не является исполнителем коммунальной услуги в этой части и оплачивает лишь ресурс на содержание общего имущества.</w:t>
      </w:r>
    </w:p>
    <w:p>
      <w:pPr>
        <w:spacing w:after="120" w:line="276" w:lineRule="auto"/>
        <w:ind w:firstLine="709"/>
        <w:jc w:val="both"/>
      </w:pPr>
      <w:r>
        <w:rPr>
          <w:rFonts w:ascii="Times New Roman" w:hAnsi="Times New Roman"/>
          <w:b/>
          <w:i w:val="0"/>
          <w:sz w:val="24"/>
        </w:rPr>
        <w:t>Объём ресурса по домам определён истцом не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Общедомовые приборы учёта [исправен, поверен (свидетельство до «[дата]»), допущен в эксплуатацию актом от «[дата]»], показания передавались ежемесячно [журнал, электронные письма]. Истец же применил [расчётный способ / норматив / максимальную мощность], что допустимо лишь при отсутствии или неисправности прибора учёта. Контррасчёт по показаниям прибора прилагается.</w:t>
      </w:r>
    </w:p>
    <w:p>
      <w:pPr>
        <w:spacing w:after="120" w:line="276" w:lineRule="auto"/>
        <w:ind w:firstLine="709"/>
        <w:jc w:val="both"/>
      </w:pPr>
      <w:r>
        <w:rPr>
          <w:rFonts w:ascii="Times New Roman" w:hAnsi="Times New Roman"/>
          <w:b/>
          <w:i w:val="0"/>
          <w:sz w:val="24"/>
        </w:rPr>
        <w:t>Нежилые помещения оплачивают ресурс напрямую.</w:t>
      </w:r>
      <w:r>
        <w:rPr>
          <w:rFonts w:ascii="Times New Roman" w:hAnsi="Times New Roman"/>
          <w:b w:val="0"/>
          <w:i w:val="0"/>
          <w:sz w:val="24"/>
        </w:rPr>
        <w:t xml:space="preserve"> Собственники нежилых помещений [перечень] обязаны заключать договоры непосредственно с ресурсоснабжающей организацией; их объёмы подлежат исключению из расчёта.</w:t>
      </w:r>
    </w:p>
    <w:p>
      <w:pPr>
        <w:spacing w:after="120" w:line="276" w:lineRule="auto"/>
        <w:ind w:firstLine="709"/>
        <w:jc w:val="both"/>
      </w:pPr>
      <w:r>
        <w:rPr>
          <w:rFonts w:ascii="Times New Roman" w:hAnsi="Times New Roman"/>
          <w:b/>
          <w:i w:val="0"/>
          <w:sz w:val="24"/>
        </w:rPr>
        <w:t>Ресурс поставлялся ненадлежащего качества.</w:t>
      </w:r>
      <w:r>
        <w:rPr>
          <w:rFonts w:ascii="Times New Roman" w:hAnsi="Times New Roman"/>
          <w:b w:val="0"/>
          <w:i w:val="0"/>
          <w:sz w:val="24"/>
        </w:rPr>
        <w:t xml:space="preserve"> Пунктом 1 статьи 542 ГК РФ установлено: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 Пунктом 2 той же статьи: «В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(пункт 2 статьи 1105).» В периоды [указать] [температура теплоносителя / давление / параметры напряжения] не соответствовали договору и обязательным требованиям, что зафиксировано [актами с участием представителя истца, данными узла учёта, обращениями в аварийную службу].</w:t>
      </w:r>
    </w:p>
    <w:p>
      <w:pPr>
        <w:spacing w:after="120" w:line="276" w:lineRule="auto"/>
        <w:ind w:firstLine="709"/>
        <w:jc w:val="both"/>
      </w:pPr>
      <w:r>
        <w:rPr>
          <w:rFonts w:ascii="Times New Roman" w:hAnsi="Times New Roman"/>
          <w:b/>
          <w:i w:val="0"/>
          <w:sz w:val="24"/>
        </w:rPr>
        <w:t>Платежи ответчика учтены не полностью.</w:t>
      </w:r>
      <w:r>
        <w:rPr>
          <w:rFonts w:ascii="Times New Roman" w:hAnsi="Times New Roman"/>
          <w:b w:val="0"/>
          <w:i w:val="0"/>
          <w:sz w:val="24"/>
        </w:rPr>
        <w:t xml:space="preserve"> Ответчик перечислил истцу платежи собственников по агентской схеме (или напрямую) — всего [сумма] рублей платёжными поручениями № [__] с указанием расчётного периода.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Истец зачёл платежи в счёт более ранних периодов [или пеней], увеличив долг за спорный период.</w:t>
      </w:r>
    </w:p>
    <w:p>
      <w:pPr>
        <w:spacing w:after="120" w:line="276" w:lineRule="auto"/>
        <w:ind w:firstLine="709"/>
        <w:jc w:val="both"/>
      </w:pPr>
      <w:r>
        <w:rPr>
          <w:rFonts w:ascii="Times New Roman" w:hAnsi="Times New Roman"/>
          <w:b/>
          <w:i w:val="0"/>
          <w:sz w:val="24"/>
        </w:rPr>
        <w:t>Пени для управляющих организаций рассчитываются по специальным правилам.</w:t>
      </w:r>
      <w:r>
        <w:rPr>
          <w:rFonts w:ascii="Times New Roman" w:hAnsi="Times New Roman"/>
          <w:b w:val="0"/>
          <w:i w:val="0"/>
          <w:sz w:val="24"/>
        </w:rPr>
        <w:t xml:space="preserve"> [Для тепла:] частью 9.3 статьи 15 Федерального закона «О теплоснабжении» установлено: «Управляющие организации, приобретающие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по договорам горячего водоснабжения и договорам поставки горячей воды, а также теплоснабжающие организации, приобретающие тепловую энергию (мощность) и (или) теплоноситель по договору поставки тепловой энергии (мощности) и (или) теплоносителя,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[Для воды:] частью 6.4 статьи 13 Федерального закона «О водоснабжении и водоотведении»: «Управляющие организации, приобретающие горячую, питьевую и (или) техническую воду для целей предоставления коммунальных услуг, теплоснабжающие организации (единые теплоснабжающие организации), а также организации, осуществляющие горячее водоснабжение, холодное водоснабжение, приобретающие горячую, питьевую и (или) техническую воду по договорам горячего водоснабжения, договорам холодного водоснабжения или единым договорам холодного водоснабжения и водоотведения, в случае несвоевременной и (или) неполной оплаты горячей, питьевой и (или) технической воды уплачивают организации, осуществляющей горячее водоснабжение, холодное водоснабжение,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Истец применил размер пени, установленный для иных потребителей.</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долга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расчётному периоду — со дня, следующего за днём окончания срока оплаты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319.1, 333, 542, 544 ГК РФ, статьёй 15 Федерального закона «О теплоснабжении», статьёй 13 Федерального закона «О водоснабжении и водоотведении»,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задолженности и пеней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пени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Протоколы общих собраний о переходе на прямые договоры, уведомления истцу.</w:t>
      </w:r>
    </w:p>
    <w:p>
      <w:pPr>
        <w:spacing w:after="40" w:line="276" w:lineRule="auto"/>
        <w:jc w:val="left"/>
      </w:pPr>
      <w:r>
        <w:rPr>
          <w:rFonts w:ascii="Times New Roman" w:hAnsi="Times New Roman"/>
          <w:b w:val="0"/>
          <w:i w:val="0"/>
          <w:sz w:val="24"/>
        </w:rPr>
        <w:t>3. Акты допуска ОДПУ, отчёты о потреблении, реестр нежилых помещений с прямыми договорами.</w:t>
      </w:r>
    </w:p>
    <w:p>
      <w:pPr>
        <w:spacing w:after="40" w:line="276" w:lineRule="auto"/>
        <w:jc w:val="left"/>
      </w:pPr>
      <w:r>
        <w:rPr>
          <w:rFonts w:ascii="Times New Roman" w:hAnsi="Times New Roman"/>
          <w:b w:val="0"/>
          <w:i w:val="0"/>
          <w:sz w:val="24"/>
        </w:rPr>
        <w:t>4. Отчёты о перечислении платежей собственников, контррасчёт.</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Сопоставьте расчёт истца с данными ГИС ЖКХ о прямых договорах и нежилых помещениях: на этом обычно «снимается» значительная часть иска к управляющей организации.</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