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владелец транспортного средства (работодатель водителя)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ущерба в порядке суброгации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в порядке суброгации [сумма] рублей — разницы между выплаченным истцом страховым возмещением по договору КАСКО (имущества) и страховым возмещением по ОСАГО — в связи с ДТП от «[дата]».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Вина водителя ответчика не доказана [или вина обоюдная].</w:t>
      </w:r>
      <w:r>
        <w:rPr>
          <w:rFonts w:ascii="Times New Roman" w:hAnsi="Times New Roman"/>
          <w:b w:val="0"/>
          <w:i w:val="0"/>
          <w:sz w:val="24"/>
        </w:rPr>
        <w:t xml:space="preserve"> Пунктом 3 статьи 1079 ГК РФ установлено, что вред, причинённый в результате взаимодействия источников повышенной опасности их владельцам, возмещается на общих основаниях (по принципу вины): «Вред, причиненный в результате взаимодействия источников повышенной опасности их владельцам, возмещается на общих основаниях (статья 1064).» [Постановление по делу об административном правонарушении отменено / вынесено в отношении обоих водителей / из схемы ДТП и видеозаписи следует нарушение ПДД водителем страхователя истца.] Ответчик ходатайствует о проведении автотехнической экспертизы механизма ДТП.</w:t>
      </w:r>
    </w:p>
    <w:p>
      <w:pPr>
        <w:spacing w:after="120" w:line="276" w:lineRule="auto"/>
        <w:ind w:firstLine="709"/>
        <w:jc w:val="both"/>
      </w:pPr>
      <w:r>
        <w:rPr>
          <w:rFonts w:ascii="Times New Roman" w:hAnsi="Times New Roman"/>
          <w:b/>
          <w:i w:val="0"/>
          <w:sz w:val="24"/>
        </w:rPr>
        <w:t>Страховщик причинителя по ОСАГО должен покрыть ущерб в пределах лимита.</w:t>
      </w:r>
      <w:r>
        <w:rPr>
          <w:rFonts w:ascii="Times New Roman" w:hAnsi="Times New Roman"/>
          <w:b w:val="0"/>
          <w:i w:val="0"/>
          <w:sz w:val="24"/>
        </w:rPr>
        <w:t xml:space="preserve"> Истец вычел из ущерба лишь [фактически полученную сумму], а не страховую сумму по ОСАГО (400 000 рублей) или размер, рассчитанный по Единой методике. Статьёй 1072 ГК РФ установлено: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Причинитель отвечает только за разницу между фактическим размером ущерба и страховым возмещением, которое было бы выплачено по ОСАГО надлежащим образом.</w:t>
      </w:r>
    </w:p>
    <w:p>
      <w:pPr>
        <w:spacing w:after="120" w:line="276" w:lineRule="auto"/>
        <w:ind w:firstLine="709"/>
        <w:jc w:val="both"/>
      </w:pPr>
      <w:r>
        <w:rPr>
          <w:rFonts w:ascii="Times New Roman" w:hAnsi="Times New Roman"/>
          <w:b/>
          <w:i w:val="0"/>
          <w:sz w:val="24"/>
        </w:rPr>
        <w:t>Размер ущерба завышен.</w:t>
      </w:r>
      <w:r>
        <w:rPr>
          <w:rFonts w:ascii="Times New Roman" w:hAnsi="Times New Roman"/>
          <w:b w:val="0"/>
          <w:i w:val="0"/>
          <w:sz w:val="24"/>
        </w:rPr>
        <w:t xml:space="preserve"> Истец оплатил ремонт на дилерской СТОА [без учёта износа деталей, с заменой деталей, подлежащих ремонту, с включением повреждений, не относящихся к ДТП].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Ответчик вправе доказать, что существует иной, более разумный и распространённый способ исправления повреждений.</w:t>
      </w:r>
    </w:p>
    <w:p>
      <w:pPr>
        <w:spacing w:after="120" w:line="276" w:lineRule="auto"/>
        <w:ind w:firstLine="709"/>
        <w:jc w:val="both"/>
      </w:pPr>
      <w:r>
        <w:rPr>
          <w:rFonts w:ascii="Times New Roman" w:hAnsi="Times New Roman"/>
          <w:b/>
          <w:i w:val="0"/>
          <w:sz w:val="24"/>
        </w:rPr>
        <w:t>Перешедшее право осуществляется по правилам отношений страхователя с причинителем.</w:t>
      </w:r>
      <w:r>
        <w:rPr>
          <w:rFonts w:ascii="Times New Roman" w:hAnsi="Times New Roman"/>
          <w:b w:val="0"/>
          <w:i w:val="0"/>
          <w:sz w:val="24"/>
        </w:rPr>
        <w:t xml:space="preserve"> Пунктом 2 статьи 965 ГК РФ установлено: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 Все возражения, которые ответчик имел против страхователя, он может выдвинуть и против страховщика.</w:t>
      </w:r>
    </w:p>
    <w:p>
      <w:pPr>
        <w:spacing w:after="120" w:line="276" w:lineRule="auto"/>
        <w:ind w:firstLine="709"/>
        <w:jc w:val="both"/>
      </w:pPr>
      <w:r>
        <w:rPr>
          <w:rFonts w:ascii="Times New Roman" w:hAnsi="Times New Roman"/>
          <w:b/>
          <w:i w:val="0"/>
          <w:sz w:val="24"/>
        </w:rPr>
        <w:t>Размер ущерба подлежит определению судебной экспертизой.</w:t>
      </w:r>
      <w:r>
        <w:rPr>
          <w:rFonts w:ascii="Times New Roman" w:hAnsi="Times New Roman"/>
          <w:b w:val="0"/>
          <w:i w:val="0"/>
          <w:sz w:val="24"/>
        </w:rPr>
        <w:t xml:space="preserve"> Заключение, представленное истцом, [выполнено без вызова страховщика на осмотр / не учитывает износ / включает повреждения, не относящиеся к событию]. Ответчик ходатайствует о назначении судебной автотехнической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ДТП «[дата]» — для суброгации срок исчисляется так же, как для требования потерпевшего к причинителю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965, 1068, 1072, 1079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ущерба в порядке суброгации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автотехническую экспертизу механизма ДТП и стоимости восстановительного ремонта.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Материалы ГИБДД (схема, объяснения), видеозапись ДТП, решения по делу об административном правонарушении.</w:t>
      </w:r>
    </w:p>
    <w:p>
      <w:pPr>
        <w:spacing w:after="40" w:line="276" w:lineRule="auto"/>
        <w:jc w:val="left"/>
      </w:pPr>
      <w:r>
        <w:rPr>
          <w:rFonts w:ascii="Times New Roman" w:hAnsi="Times New Roman"/>
          <w:b w:val="0"/>
          <w:i w:val="0"/>
          <w:sz w:val="24"/>
        </w:rPr>
        <w:t>3. Расчёт стоимости ремонта по Единой методике (сведения о выплате по ОСАГО).</w:t>
      </w:r>
    </w:p>
    <w:p>
      <w:pPr>
        <w:spacing w:after="40" w:line="276" w:lineRule="auto"/>
        <w:jc w:val="left"/>
      </w:pPr>
      <w:r>
        <w:rPr>
          <w:rFonts w:ascii="Times New Roman" w:hAnsi="Times New Roman"/>
          <w:b w:val="0"/>
          <w:i w:val="0"/>
          <w:sz w:val="24"/>
        </w:rPr>
        <w:t>4. Сведения о среднерыночной стоимости ремонта.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Давность по суброгации исчисляется с момента ДТП, а не с выплаты страхового возмещения: переход права не меняет срок (ст. 201 ГК РФ). Проверьте этот срок в первую очередь.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