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(химчистка, ателье, мастерская)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двукратной стоимости утраченной (повреждённой) вещи,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двукратной стоимости [вещи: пальто, ковра, костюма], повреждённой при [химчистке / ремонте / пошиве] по квитанции-договору от «[дата]» № [номер],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Исполнитель предупредил истца о рисках обработки, и истец согласился.</w:t>
      </w:r>
      <w:r>
        <w:rPr>
          <w:rFonts w:ascii="Times New Roman" w:hAnsi="Times New Roman"/>
          <w:b w:val="0"/>
          <w:i w:val="0"/>
          <w:sz w:val="24"/>
        </w:rPr>
        <w:t xml:space="preserve"> Пунктом 1 статьи 35 Закона о защите прав потребителей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При приёмке вещи в квитанции отмечены [степень износа __ %, имеющиеся пятна и дефекты, отсутствие маркировки / маркировка, запрещающая химическую чистку] и предупреждение о возможных последствиях обработки [изменение цвета, усадка, проявление скрытых дефектов]. Истец подписал квитанцию, согласившись с этими условиями. Абзацем первым статьи 36 Закона установлено: «Исполнитель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 Эта обязанность исполнителем выполнена. Пунктом 3 статьи 35 Закона: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spacing w:after="120" w:line="276" w:lineRule="auto"/>
        <w:ind w:firstLine="709"/>
        <w:jc w:val="both"/>
      </w:pPr>
      <w:r>
        <w:rPr>
          <w:rFonts w:ascii="Times New Roman" w:hAnsi="Times New Roman"/>
          <w:b/>
          <w:i w:val="0"/>
          <w:sz w:val="24"/>
        </w:rPr>
        <w:t>Дефекты являются следствием скрытых свойств материала или ненадлежащей маркировки изготовителя.</w:t>
      </w:r>
      <w:r>
        <w:rPr>
          <w:rFonts w:ascii="Times New Roman" w:hAnsi="Times New Roman"/>
          <w:b w:val="0"/>
          <w:i w:val="0"/>
          <w:sz w:val="24"/>
        </w:rPr>
        <w:t xml:space="preserve"> Как следует из того же пункта 3 статьи 35 Закона, исполнитель не отвечает и за свойства, которые не могли быть обнаружены при надлежащей приёмке. [Повреждение вызвано несоответствием материала маркировке изготовителя — заключение специалиста от «[дата]»; скрытые дефекты (непрочное крашение, клеевые соединения) проявились при технологически правильной обработке.]</w:t>
      </w:r>
    </w:p>
    <w:p>
      <w:pPr>
        <w:spacing w:after="120" w:line="276" w:lineRule="auto"/>
        <w:ind w:firstLine="709"/>
        <w:jc w:val="both"/>
      </w:pPr>
      <w:r>
        <w:rPr>
          <w:rFonts w:ascii="Times New Roman" w:hAnsi="Times New Roman"/>
          <w:b/>
          <w:i w:val="0"/>
          <w:sz w:val="24"/>
        </w:rPr>
        <w:t>Цена вещи определена неверно.</w:t>
      </w:r>
      <w:r>
        <w:rPr>
          <w:rFonts w:ascii="Times New Roman" w:hAnsi="Times New Roman"/>
          <w:b w:val="0"/>
          <w:i w:val="0"/>
          <w:sz w:val="24"/>
        </w:rPr>
        <w:t xml:space="preserve"> Абзацем вторым пункта 2 статьи 35 Закона установлено: «Цена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 Пунктом 2 той же статьи: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Цена определяется с учётом износа [__ %]. Истец оценил вещь по цене новой [сумма] рублей без учёта износа, тогда как в квитанции при приёмке стоимость вещи указана [сумма] рублей.</w:t>
      </w:r>
    </w:p>
    <w:p>
      <w:pPr>
        <w:spacing w:after="120" w:line="276" w:lineRule="auto"/>
        <w:ind w:firstLine="709"/>
        <w:jc w:val="both"/>
      </w:pPr>
      <w:r>
        <w:rPr>
          <w:rFonts w:ascii="Times New Roman" w:hAnsi="Times New Roman"/>
          <w:b/>
          <w:i w:val="0"/>
          <w:sz w:val="24"/>
        </w:rPr>
        <w:t>[Если вещь лишь частично повреждена:] Двукратная стоимость не применяется.</w:t>
      </w:r>
      <w:r>
        <w:rPr>
          <w:rFonts w:ascii="Times New Roman" w:hAnsi="Times New Roman"/>
          <w:b w:val="0"/>
          <w:i w:val="0"/>
          <w:sz w:val="24"/>
        </w:rPr>
        <w:t xml:space="preserve"> Двукратная цена возмещается при полной или частичной утрате (повреждении) вещи; если вещь пригодна к использованию по назначению, возможно лишь уменьшение цены услуги или устранение недостатков (статья 29 Закона).</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3 статьи 31 Закона: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Неустойка начисляется от цены услуги [сумма] рублей, а не от стоимости вещи, и не может превышать цену услуги (абзац четвёртый пункта 5 статьи 28 Закона: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какова причина дефекта (нарушение технологии обработки, скрытые свойства материала, маркировка); пригодна ли вещь к использованию; какова её стоимость с учётом износа.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28, 29, 31, 35, 36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двукратной стоимости вещи,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Определить стоимость вещи с учётом износа по квитанции в размере [сумма] рублей, уменьшить неустойку, штраф и компенсацию морального вреда.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Квитанция-договор с отметками о состоянии вещи и предупреждении потребителя.</w:t>
      </w:r>
    </w:p>
    <w:p>
      <w:pPr>
        <w:spacing w:after="40" w:line="276" w:lineRule="auto"/>
        <w:jc w:val="left"/>
      </w:pPr>
      <w:r>
        <w:rPr>
          <w:rFonts w:ascii="Times New Roman" w:hAnsi="Times New Roman"/>
          <w:b w:val="0"/>
          <w:i w:val="0"/>
          <w:sz w:val="24"/>
        </w:rPr>
        <w:t>3. Технологическая карта обработки, заключение специалиста о причине дефекта.</w:t>
      </w:r>
    </w:p>
    <w:p>
      <w:pPr>
        <w:spacing w:after="40" w:line="276" w:lineRule="auto"/>
        <w:jc w:val="left"/>
      </w:pPr>
      <w:r>
        <w:rPr>
          <w:rFonts w:ascii="Times New Roman" w:hAnsi="Times New Roman"/>
          <w:b w:val="0"/>
          <w:i w:val="0"/>
          <w:sz w:val="24"/>
        </w:rPr>
        <w:t>4. Фотографии вещи при приёмке.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Отметки в квитанции о степени износа, дефектах и предупреждении — главное доказательство исполнителя.</w:t>
      </w:r>
    </w:p>
    <w:p>
      <w:pPr>
        <w:spacing w:after="40" w:line="276" w:lineRule="auto"/>
        <w:jc w:val="both"/>
      </w:pPr>
      <w:r>
        <w:rPr>
          <w:rFonts w:ascii="Times New Roman" w:hAnsi="Times New Roman"/>
          <w:b w:val="0"/>
          <w:i/>
          <w:sz w:val="24"/>
        </w:rPr>
        <w:t>— Пункт 3 ст. 35 и абзац первый ст. 36 Закона о защите прав потребителей приведены дословно (в ст. 36 пунктов нет — только абзацы).</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