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оспаривающее принадлежность имущества наследодателю</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включении имущества в наследственную массу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включении [имущества: __] в состав наследства [Ф. И. О. наследодателя], умершего «[дата]», [и признании права собственности в порядке наследования].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 наследство входит только то, что принадлежало наследодателю на день смерти.</w:t>
      </w:r>
      <w:r>
        <w:rPr>
          <w:rFonts w:ascii="Times New Roman" w:hAnsi="Times New Roman"/>
          <w:b w:val="0"/>
          <w:i w:val="0"/>
          <w:sz w:val="24"/>
        </w:rPr>
        <w:t xml:space="preserve"> Статьёй 1112 Гражданского кодекса Российской Федерации (далее — ГК РФ) установлено: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Истец должен доказать, что на день открытия наследства наследодатель являлся собственником спорного имущества или обладал правом на его приобретение, которое не зависело от его дальнейшего волеизъявления.</w:t>
      </w:r>
    </w:p>
    <w:p>
      <w:pPr>
        <w:spacing w:after="120" w:line="276" w:lineRule="auto"/>
        <w:ind w:firstLine="709"/>
        <w:jc w:val="both"/>
      </w:pPr>
      <w:r>
        <w:rPr>
          <w:rFonts w:ascii="Times New Roman" w:hAnsi="Times New Roman"/>
          <w:b/>
          <w:i w:val="0"/>
          <w:sz w:val="24"/>
        </w:rPr>
        <w:t>Наследодатель собственником имущества не являлся.</w:t>
      </w:r>
      <w:r>
        <w:rPr>
          <w:rFonts w:ascii="Times New Roman" w:hAnsi="Times New Roman"/>
          <w:b w:val="0"/>
          <w:i w:val="0"/>
          <w:sz w:val="24"/>
        </w:rPr>
        <w:t xml:space="preserve"> Пунктом 1 статьи 131 ГК РФ установлено: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Право на [объект] зарегистрировано за [ответчиком / иным лицом] с «[дата]». Наследодатель [лишь проживал в квартире / пользовался имуществом с согласия собственника / вносил платежи за ответчика]. Пользование имуществом и участие в расходах на него не создают права собственности.</w:t>
      </w:r>
    </w:p>
    <w:p>
      <w:pPr>
        <w:spacing w:after="120" w:line="276" w:lineRule="auto"/>
        <w:ind w:firstLine="709"/>
        <w:jc w:val="both"/>
      </w:pPr>
      <w:r>
        <w:rPr>
          <w:rFonts w:ascii="Times New Roman" w:hAnsi="Times New Roman"/>
          <w:b/>
          <w:i w:val="0"/>
          <w:sz w:val="24"/>
        </w:rPr>
        <w:t>Сделка, на которую ссылается истец, не была завершена наследодателем.</w:t>
      </w:r>
      <w:r>
        <w:rPr>
          <w:rFonts w:ascii="Times New Roman" w:hAnsi="Times New Roman"/>
          <w:b w:val="0"/>
          <w:i w:val="0"/>
          <w:sz w:val="24"/>
        </w:rPr>
        <w:t xml:space="preserve"> [Наследодатель при жизни лишь [подал заявление о приватизации / заключил предварительный договор / начал оформление], но затем [отозвал заявление / не предпринимал действий, хотя имел возможность]. Включение имущества в наследство возможно лишь при выраженной воле наследодателя, которую он не отозвал и не смог реализовать по не зависящим от него причинам. Такой воли истец не доказал.]</w:t>
      </w:r>
    </w:p>
    <w:p>
      <w:pPr>
        <w:spacing w:after="120" w:line="276" w:lineRule="auto"/>
        <w:ind w:firstLine="709"/>
        <w:jc w:val="both"/>
      </w:pPr>
      <w:r>
        <w:rPr>
          <w:rFonts w:ascii="Times New Roman" w:hAnsi="Times New Roman"/>
          <w:b/>
          <w:i w:val="0"/>
          <w:sz w:val="24"/>
        </w:rPr>
        <w:t>[Если истец ссылается на членство в кооперативе:] Паевой взнос не выплачен полностью.</w:t>
      </w:r>
      <w:r>
        <w:rPr>
          <w:rFonts w:ascii="Times New Roman" w:hAnsi="Times New Roman"/>
          <w:b w:val="0"/>
          <w:i w:val="0"/>
          <w:sz w:val="24"/>
        </w:rPr>
        <w:t xml:space="preserve">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Справки о полной выплате пая наследодателем нет; [кооператив подтверждает задолженность по взносу в размере [сумма] рублей].</w:t>
      </w:r>
    </w:p>
    <w:p>
      <w:pPr>
        <w:spacing w:after="120" w:line="276" w:lineRule="auto"/>
        <w:ind w:firstLine="709"/>
        <w:jc w:val="both"/>
      </w:pPr>
      <w:r>
        <w:rPr>
          <w:rFonts w:ascii="Times New Roman" w:hAnsi="Times New Roman"/>
          <w:b/>
          <w:i w:val="0"/>
          <w:sz w:val="24"/>
        </w:rPr>
        <w:t>Имущество принадлежит ответчику на законном основании.</w:t>
      </w:r>
      <w:r>
        <w:rPr>
          <w:rFonts w:ascii="Times New Roman" w:hAnsi="Times New Roman"/>
          <w:b w:val="0"/>
          <w:i w:val="0"/>
          <w:sz w:val="24"/>
        </w:rPr>
        <w:t xml:space="preserve"> Ответчик приобрёл [объект] по [договору купли-продажи / дарения / решению суда] от «[дата]», право зарегистрировано. Пунктом 2 статьи 218 ГК РФ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Регистрация права ответчика не оспорена; требование о включении имущества в наследство фактически направлено на лишение ответчика собственности без оспаривания его права, что является ненадлежащим способом защиты.</w:t>
      </w:r>
    </w:p>
    <w:p>
      <w:pPr>
        <w:spacing w:after="120" w:line="276" w:lineRule="auto"/>
        <w:ind w:firstLine="709"/>
        <w:jc w:val="both"/>
      </w:pPr>
      <w:r>
        <w:rPr>
          <w:rFonts w:ascii="Times New Roman" w:hAnsi="Times New Roman"/>
          <w:b/>
          <w:i w:val="0"/>
          <w:sz w:val="24"/>
        </w:rPr>
        <w:t>Переход прав к наследникам — только в отношении имущества наследодателя.</w:t>
      </w:r>
      <w:r>
        <w:rPr>
          <w:rFonts w:ascii="Times New Roman" w:hAnsi="Times New Roman"/>
          <w:b w:val="0"/>
          <w:i w:val="0"/>
          <w:sz w:val="24"/>
        </w:rPr>
        <w:t xml:space="preserve"> Пунктом 1 статьи 1110 ГК РФ установлено: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Абзацем вторым пункта 2 статьи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Права, которыми наследодатель не обладал, к наследникам перейти не могут.</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131, 218, 1110, 1112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включении имущества в наследственную массу и признании права собственности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праве ответчика на спорное имущество (договор, выписка ЕГРН).</w:t>
      </w:r>
    </w:p>
    <w:p>
      <w:pPr>
        <w:spacing w:after="40" w:line="276" w:lineRule="auto"/>
        <w:jc w:val="left"/>
      </w:pPr>
      <w:r>
        <w:rPr>
          <w:rFonts w:ascii="Times New Roman" w:hAnsi="Times New Roman"/>
          <w:b w:val="0"/>
          <w:i w:val="0"/>
          <w:sz w:val="24"/>
        </w:rPr>
        <w:t>3. Доказательства того, что наследодатель лишь пользовался имуществом (договор безвозмездного пользования, переписка).</w:t>
      </w:r>
    </w:p>
    <w:p>
      <w:pPr>
        <w:spacing w:after="40" w:line="276" w:lineRule="auto"/>
        <w:jc w:val="left"/>
      </w:pPr>
      <w:r>
        <w:rPr>
          <w:rFonts w:ascii="Times New Roman" w:hAnsi="Times New Roman"/>
          <w:b w:val="0"/>
          <w:i w:val="0"/>
          <w:sz w:val="24"/>
        </w:rPr>
        <w:t>4. Справка кооператива о невыплате пая / документы об отзыве заявления о приватизации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Включение в наследство возможно, только если наследодатель был собственником или выразил и не отозвал волю на приобретение права (приватизация, выплата пая). Проверьте документы на каждой стадии.</w:t>
      </w:r>
    </w:p>
    <w:p>
      <w:pPr>
        <w:spacing w:after="40" w:line="276" w:lineRule="auto"/>
        <w:jc w:val="both"/>
      </w:pPr>
      <w:r>
        <w:rPr>
          <w:rFonts w:ascii="Times New Roman" w:hAnsi="Times New Roman"/>
          <w:b w:val="0"/>
          <w:i/>
          <w:sz w:val="24"/>
        </w:rPr>
        <w:t>— Если право зарегистрировано за вами, истец должен оспорить основание регистрации; требование «включить в массу» без этого — ненадлежащий способ защиты.</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