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публично-правовое образование в лице главного распорядителя бюджетных средств</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убытков, причинённых действиями (бездействием) государственного органа, за счёт казны</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 счёт казны [Российской Федерации / субъекта / муниципального образования] убытков в размере [сумма] рублей, причинённых, по утверждению истца, незаконными [действиями / бездействием] [наименование органа, должностного лица].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Иск предъявлен к ненадлежащему ответчику.</w:t>
      </w:r>
      <w:r>
        <w:rPr>
          <w:rFonts w:ascii="Times New Roman" w:hAnsi="Times New Roman"/>
          <w:b w:val="0"/>
          <w:i w:val="0"/>
          <w:sz w:val="24"/>
        </w:rPr>
        <w:t xml:space="preserve"> Статьёй 1071 ГК РФ установлено: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 По пункту 3 статьи 158 Бюджетного кодекса РФ от имени казны выступает главный распорядитель бюджетных средств по ведомственной принадлежности органа, действия которого обжалуются, — [наименование], а не [Минфин / территориальный орган]. Ответчик ходатайствует о замене ненадлежащего ответчика (статья 47 АПК РФ).</w:t>
      </w:r>
    </w:p>
    <w:p>
      <w:pPr>
        <w:spacing w:after="120" w:line="276" w:lineRule="auto"/>
        <w:ind w:firstLine="709"/>
        <w:jc w:val="both"/>
      </w:pPr>
      <w:r>
        <w:rPr>
          <w:rFonts w:ascii="Times New Roman" w:hAnsi="Times New Roman"/>
          <w:b/>
          <w:i w:val="0"/>
          <w:sz w:val="24"/>
        </w:rPr>
        <w:t>Незаконность действий не доказана.</w:t>
      </w:r>
      <w:r>
        <w:rPr>
          <w:rFonts w:ascii="Times New Roman" w:hAnsi="Times New Roman"/>
          <w:b w:val="0"/>
          <w:i w:val="0"/>
          <w:sz w:val="24"/>
        </w:rPr>
        <w:t xml:space="preserve"> Статьёй 16 ГК РФ установлено: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 Статьёй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Действия органа [не признаны незаконными в установленном порядке / признаны незаконными по формальным основаниям, не повлиявшим на права истца]; [истец не обжаловал акт и не воспользовался предусмотренными законом способами защиты].</w:t>
      </w:r>
    </w:p>
    <w:p>
      <w:pPr>
        <w:spacing w:after="120" w:line="276" w:lineRule="auto"/>
        <w:ind w:firstLine="709"/>
        <w:jc w:val="both"/>
      </w:pPr>
      <w:r>
        <w:rPr>
          <w:rFonts w:ascii="Times New Roman" w:hAnsi="Times New Roman"/>
          <w:b/>
          <w:i w:val="0"/>
          <w:sz w:val="24"/>
        </w:rPr>
        <w:t>Причинная связь отсутствует.</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должен доказать нарушение ответчиком обязательства (противоправность), наличие и размер убытков и причинную связь между ними (часть 1 статьи 65 АПК РФ). Отсутствие хотя бы одного из этих элементов исключает взыскание. Убытки истца [вызваны его собственными предпринимательскими решениями / нарушениями, выявленными органом / действиями третьих лиц]; действия органа не были их необходимой причиной.</w:t>
      </w:r>
    </w:p>
    <w:p>
      <w:pPr>
        <w:spacing w:after="120" w:line="276" w:lineRule="auto"/>
        <w:ind w:firstLine="709"/>
        <w:jc w:val="both"/>
      </w:pPr>
      <w:r>
        <w:rPr>
          <w:rFonts w:ascii="Times New Roman" w:hAnsi="Times New Roman"/>
          <w:b/>
          <w:i w:val="0"/>
          <w:sz w:val="24"/>
        </w:rPr>
        <w:t>Размер убытков не подтверждён.</w:t>
      </w:r>
      <w:r>
        <w:rPr>
          <w:rFonts w:ascii="Times New Roman" w:hAnsi="Times New Roman"/>
          <w:b w:val="0"/>
          <w:i w:val="0"/>
          <w:sz w:val="24"/>
        </w:rPr>
        <w:t xml:space="preserve"> Истец [включил в убытки расходы на представителя в административном деле, которые взыскиваются по процессуальным правилам / не представил первичных документов / рассчитал упущенную выгоду без доказательств приготовлений].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когда истец узнал о действиях органа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16, 1069, 1071 ГК РФ, статьёй 158 Бюджетного кодекса РФ, статьями 47,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возмещении убытков за счёт казны к [наименование ответчика]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законности действий органа (акты, материалы проверки).</w:t>
      </w:r>
    </w:p>
    <w:p>
      <w:pPr>
        <w:spacing w:after="40" w:line="276" w:lineRule="auto"/>
        <w:jc w:val="left"/>
      </w:pPr>
      <w:r>
        <w:rPr>
          <w:rFonts w:ascii="Times New Roman" w:hAnsi="Times New Roman"/>
          <w:b w:val="0"/>
          <w:i w:val="0"/>
          <w:sz w:val="24"/>
        </w:rPr>
        <w:t>3. Сведения о ведомственной принадлежности органа и главном распорядителе бюджетных средств.</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Убытки, причинённые незаконными актами и действиями органов, взыскиваются с публично-правового образования за счёт казны; деньги взыскиваются с казны, а не с органа как юридического лица — проверьте формулировку требования.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