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поклажедатель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хранитель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убытков, причинённых утратой (повреждением) имущества, переданного на хранение</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возмещении убытков в размере [сумма] рублей в связи с [утратой / недостачей / повреждением] имущества, переданного на хранение по договору от «[дата]» № [__].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Передача имущества на хранение в заявленном количестве не доказана.</w:t>
      </w:r>
      <w:r>
        <w:rPr>
          <w:rFonts w:ascii="Times New Roman" w:hAnsi="Times New Roman"/>
          <w:b w:val="0"/>
          <w:i w:val="0"/>
          <w:sz w:val="24"/>
        </w:rPr>
        <w:t xml:space="preserve"> Пунктом 2 статьи 887 ГК РФ установлено: «Простая письменная форма договора хранения считается соблюденной, если принятие вещи на хранение удостоверено хранителем выдачей поклажедателю:» «сохранной расписки, квитанции, свидетельства или иного документа, подписанного хранителем» Истец не представил сохранной расписки (складской квитанции) на [__] единиц; акт приёма-передачи подтверждает передачу лишь [__] единиц [без описи содержимого упаковки].</w:t>
      </w:r>
    </w:p>
    <w:p>
      <w:pPr>
        <w:spacing w:after="120" w:line="276" w:lineRule="auto"/>
        <w:ind w:firstLine="709"/>
        <w:jc w:val="both"/>
      </w:pPr>
      <w:r>
        <w:rPr>
          <w:rFonts w:ascii="Times New Roman" w:hAnsi="Times New Roman"/>
          <w:b/>
          <w:i w:val="0"/>
          <w:sz w:val="24"/>
        </w:rPr>
        <w:t>Повреждение вызвано свойствами вещи или действиями поклажедателя.</w:t>
      </w:r>
      <w:r>
        <w:rPr>
          <w:rFonts w:ascii="Times New Roman" w:hAnsi="Times New Roman"/>
          <w:b w:val="0"/>
          <w:i w:val="0"/>
          <w:sz w:val="24"/>
        </w:rPr>
        <w:t xml:space="preserve"> Абзацем вторым пункта 1 статьи 901 ГК РФ установлено: «Профессиональный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либо в результате умысла или грубой неосторожности поклажедателя.» [Товар передан в повреждённой (непригодной для хранения) упаковке — отметка в акте; порча произошла из-за естественных свойств товара, о которых поклажедатель не предупредил; поклажедатель самостоятельно производил погрузочные работы на складе.]</w:t>
      </w:r>
    </w:p>
    <w:p>
      <w:pPr>
        <w:spacing w:after="120" w:line="276" w:lineRule="auto"/>
        <w:ind w:firstLine="709"/>
        <w:jc w:val="both"/>
      </w:pPr>
      <w:r>
        <w:rPr>
          <w:rFonts w:ascii="Times New Roman" w:hAnsi="Times New Roman"/>
          <w:b/>
          <w:i w:val="0"/>
          <w:sz w:val="24"/>
        </w:rPr>
        <w:t>Хранитель принял все предусмотренные договором меры.</w:t>
      </w:r>
      <w:r>
        <w:rPr>
          <w:rFonts w:ascii="Times New Roman" w:hAnsi="Times New Roman"/>
          <w:b w:val="0"/>
          <w:i w:val="0"/>
          <w:sz w:val="24"/>
        </w:rPr>
        <w:t xml:space="preserve"> Пунктом 1 статьи 891 ГК РФ установлено: «Хранитель обязан принять все предусмотренные договором хранения меры для того, чтобы обеспечить сохранность переданной на хранение вещи.» [Склад охранялся, температурный режим соблюдался — журналы; доступ к товару имели работники поклажедателя.]</w:t>
      </w:r>
    </w:p>
    <w:p>
      <w:pPr>
        <w:spacing w:after="120" w:line="276" w:lineRule="auto"/>
        <w:ind w:firstLine="709"/>
        <w:jc w:val="both"/>
      </w:pPr>
      <w:r>
        <w:rPr>
          <w:rFonts w:ascii="Times New Roman" w:hAnsi="Times New Roman"/>
          <w:b/>
          <w:i w:val="0"/>
          <w:sz w:val="24"/>
        </w:rPr>
        <w:t>Срок хранения истёк, и поклажедатель уклонялся от получения вещи.</w:t>
      </w:r>
      <w:r>
        <w:rPr>
          <w:rFonts w:ascii="Times New Roman" w:hAnsi="Times New Roman"/>
          <w:b w:val="0"/>
          <w:i w:val="0"/>
          <w:sz w:val="24"/>
        </w:rPr>
        <w:t xml:space="preserve"> Пунктом 2 статьи 901 ГК РФ установлено: «За утрату, недостачу или повреждение принятых на хранение вещей после того, как наступила обязанность поклажедателя взять эти вещи обратно (пункт 1 статьи 899), хранитель отвечает лишь при наличии с его стороны умысла или грубой неосторожности.» Обязанность забрать вещь наступила «[дата]», поклажедатель уведомлён «[дата]»; повреждение, по утверждению истца, произошло после этой даты, а умысла или грубой неосторожности хранителя нет.</w:t>
      </w:r>
    </w:p>
    <w:p>
      <w:pPr>
        <w:spacing w:after="120" w:line="276" w:lineRule="auto"/>
        <w:ind w:firstLine="709"/>
        <w:jc w:val="both"/>
      </w:pPr>
      <w:r>
        <w:rPr>
          <w:rFonts w:ascii="Times New Roman" w:hAnsi="Times New Roman"/>
          <w:b/>
          <w:i w:val="0"/>
          <w:sz w:val="24"/>
        </w:rPr>
        <w:t>Размер убытков завышен.</w:t>
      </w:r>
      <w:r>
        <w:rPr>
          <w:rFonts w:ascii="Times New Roman" w:hAnsi="Times New Roman"/>
          <w:b w:val="0"/>
          <w:i w:val="0"/>
          <w:sz w:val="24"/>
        </w:rPr>
        <w:t xml:space="preserve"> Пунктом 1 статьи 902 ГК РФ установлено: «Убытки, причиненные поклажедателю утратой, недостачей или повреждением вещей, возмещаются хранителем в соответствии со статьей 393 настоящего Кодекса, если законом или договором хранения не предусмотрено иное.» Истец [требует стоимость вещи по цене реализации с наценкой / не учитывает возможность использования повреждённого товара с уценкой / не учитывает ограничение ответственности по пункту [__] Договора].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когда поклажедатель узнал об утрате (повреждении) имущества, —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887, 891, 899, 901, 902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возмещении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[При необходимости] назначить судебную товароведческую экспертизу по вопросам о причинах повреждения и размере снижения стоимости имущества.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 приёма-передачи на хранение (количество, состояние упаковки), складские квитанции.</w:t>
      </w:r>
    </w:p>
    <w:p>
      <w:pPr>
        <w:spacing w:after="40" w:line="276" w:lineRule="auto"/>
        <w:jc w:val="left"/>
      </w:pPr>
      <w:r>
        <w:rPr>
          <w:rFonts w:ascii="Times New Roman" w:hAnsi="Times New Roman"/>
          <w:b w:val="0"/>
          <w:i w:val="0"/>
          <w:sz w:val="24"/>
        </w:rPr>
        <w:t>3. Журналы охраны и температурного режима, списки лиц с доступом на склад.</w:t>
      </w:r>
    </w:p>
    <w:p>
      <w:pPr>
        <w:spacing w:after="40" w:line="276" w:lineRule="auto"/>
        <w:jc w:val="left"/>
      </w:pPr>
      <w:r>
        <w:rPr>
          <w:rFonts w:ascii="Times New Roman" w:hAnsi="Times New Roman"/>
          <w:b w:val="0"/>
          <w:i w:val="0"/>
          <w:sz w:val="24"/>
        </w:rPr>
        <w:t>4. Уведомление поклажедателю о необходимости забрать вещь.</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Профессиональный хранитель отвечает без вины и освобождается только при непреодолимой силе, свойствах вещи или умысле (грубой неосторожности) поклажедателя (абз. 2 п. 1 ст. 901 ГК РФ). Ищите доказательства именно этих обстоятельств.</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