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пострадавшей квартиры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вышерасположенной квартиры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ущерба, причинённого заливом квартиры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ущерба в размере [сумма] рублей, причинённого заливом квартиры № [__] «[дата]», расходов на оценку [и компенсации морального вреда].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Залив произошёл из общего имущества — ответственность несёт управляющая организация.</w:t>
      </w:r>
      <w:r>
        <w:rPr>
          <w:rFonts w:ascii="Times New Roman" w:hAnsi="Times New Roman"/>
          <w:b w:val="0"/>
          <w:i w:val="0"/>
          <w:sz w:val="24"/>
        </w:rPr>
        <w:t xml:space="preserve"> Согласно акту от «[дата]» причиной залива стал [прорыв стояка горячего водоснабжения до первого отключающего устройства / течь кровли / засор канализационного стояка]. Это оборудование относится к общему имуществу многоквартирного дома (пункт 3 части 1 статьи 36 ЖК РФ), за содержание которого отвечает управляющая организация. Ответчик просит заменить ненадлежащего ответчика (статья 41 ГПК РФ) или привлечь управляющую организацию соответчиком.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Акт о заливе составлен с нарушениями.</w:t>
      </w:r>
      <w:r>
        <w:rPr>
          <w:rFonts w:ascii="Times New Roman" w:hAnsi="Times New Roman"/>
          <w:b w:val="0"/>
          <w:i w:val="0"/>
          <w:sz w:val="24"/>
        </w:rPr>
        <w:t xml:space="preserve"> Акт составлен [без участия ответчика, который не был извещён / спустя [__] дней после события / без указания причины залива и перечня повреждений]; в акте указаны повреждения, [которые не могли образоваться от одного залива — старые следы протечек, отслоение обоев в сухих местах].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завышен.</w:t>
      </w:r>
      <w:r>
        <w:rPr>
          <w:rFonts w:ascii="Times New Roman" w:hAnsi="Times New Roman"/>
          <w:b w:val="0"/>
          <w:i w:val="0"/>
          <w:sz w:val="24"/>
        </w:rPr>
        <w:t xml:space="preserve"> [Оценка проведена без осмотра с участием ответчика; включены работы по полной замене покрытий в помещениях, где повреждения локальны; использованы цены материалов премиум-класса, не соответствующие фактической отделке квартиры; не учтён износ отделки [__] лет.]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просит назначить судебную экспертизу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Моральный вред при повреждении имущества не компенсируется.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 («Если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вреда.») компенсация предусмотрена за нарушение личных неимущественных прав; залив квартиры затрагивает имущественные права, и специального закона о компенсации морального вреда в этом случае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не проживает в квартире:]</w:t>
      </w:r>
      <w:r>
        <w:rPr>
          <w:rFonts w:ascii="Times New Roman" w:hAnsi="Times New Roman"/>
          <w:b w:val="0"/>
          <w:i w:val="0"/>
          <w:sz w:val="24"/>
        </w:rPr>
        <w:t xml:space="preserve"> Ответственность лежит на собственнике (статья 210 ГК РФ: «Собственник несет бремя содержания принадлежащего ему имущества, если иное не предусмотрено законом или договором.») [либо на нанимателе, если квартира сдана в наём и залив произошёл по его вине — ответчик просит привлечь нанимателя [Ф. И. О.]].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Имущественное положение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 установлено: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Ответчик [пенсионер / имеет доход [сумма] рублей, на иждивении — [дети], кредитные обязательства]; вред причинён неумышленно. Ответчик просит уменьшить размер возмещения с учётом его имущественного положения.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151, 210, 1064, 1083 ГК РФ, статьёй 36 ЖК РФ, статьями 12, 41,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возмещении ущерба и компенсации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Заменить ненадлежащего ответчика на управляющую организацию [наименование] или привлечь её соответчиком.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Назначить судебную строительно-техническую и оценочную экспертизу (причина залива, перечень повреждений, стоимость восстановительного ремонта с учётом износа).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Акт о заливе (с замечаниями ответчика), фотографии места протечки в квартире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местонахождении первого отключающего устройства на стояке.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ремонте общего имущества управляющей организацией после залива.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об имущественном положении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Определите точку протечки относительно первого запорного крана: всё, что до крана, — общее имущество, за которое отвечает управляющая организация.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Акт без вашего участия и без указания причины — слабое доказательство; требуйте экспертизу.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