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потерпевший</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предполагаемый причинитель вреда</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возмещении вреда, причинённого имуществу</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Арбитражного суда находится дело № А[__]-[_____]/20[__] по исковому заявлению [наименование истца] к [наименование ответчика] о возмещении вреда, причинённого имуществу истца [зданию, оборудованию, товару] «[дата]» в результате [залива / пожара / повреждения при производстве работ / ДТП], в размере [сумма] рублей. Определение о принятии искового заявления к производству и копию иска ответчик получил «[дата]». Ответчик исковые требования не признаёт [в полном объёме / в части: указать] по основаниям, изложенным ниже. Отзыв представляется по статье 131 Арбитражного процессуального кодекса Российской Федерации (далее — АПК РФ), пунктом 3 части 5 которой в отзыве требуется указать «возражения относительно каждого довода, касающегося существа заявленных требований, со ссылкой на законы и иные нормативные правовые акты, а также на доказательства, обосновывающие возражения».</w:t>
      </w:r>
    </w:p>
    <w:p>
      <w:pPr>
        <w:spacing w:after="120" w:line="276" w:lineRule="auto"/>
        <w:ind w:firstLine="709"/>
        <w:jc w:val="both"/>
      </w:pPr>
      <w:r>
        <w:rPr>
          <w:rFonts w:ascii="Times New Roman" w:hAnsi="Times New Roman"/>
          <w:b/>
          <w:i w:val="0"/>
          <w:sz w:val="24"/>
        </w:rPr>
        <w:t>Бремя доказывания лежит на истце.</w:t>
      </w:r>
      <w:r>
        <w:rPr>
          <w:rFonts w:ascii="Times New Roman" w:hAnsi="Times New Roman"/>
          <w:b w:val="0"/>
          <w:i w:val="0"/>
          <w:sz w:val="24"/>
        </w:rPr>
        <w:t xml:space="preserve"> Согласно части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Ответчик оспаривает все обстоятельства, на которые ссылается истец, поскольку в силу части 3.1 статьи 70 АПК РФ «Обстоятельства, на которые ссылается сторона в обоснование своих требований или возражений, считаются признанными другой стороной, если они ею прямо не оспорены или несогласие с такими обстоятельствами не вытекает из иных доказательств, обосновывающих представленные возражения относительно существа заявленных требований.»</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Ответчик не является причинителем вреда, причинная связь не доказана.</w:t>
      </w:r>
      <w:r>
        <w:rPr>
          <w:rFonts w:ascii="Times New Roman" w:hAnsi="Times New Roman"/>
          <w:b w:val="0"/>
          <w:i w:val="0"/>
          <w:sz w:val="24"/>
        </w:rPr>
        <w:t xml:space="preserve"> Пунктом 1 статьи 1064 ГК РФ установлено: «Вред, причиненный личности или имуществу гражданина, а также вред, причиненный имуществу юридического лица, подлежит возмещению в полном объеме лицом, причинившим вред.» Источник [залива / возгорания] находился [в помещении третьего лица / в зоне ответственности управляющей организации / в сетях самого истца], что подтверждается [актом, заключением пожарно-технической экспертизы МЧС].</w:t>
      </w:r>
    </w:p>
    <w:p>
      <w:pPr>
        <w:spacing w:after="120" w:line="276" w:lineRule="auto"/>
        <w:ind w:firstLine="709"/>
        <w:jc w:val="both"/>
      </w:pPr>
      <w:r>
        <w:rPr>
          <w:rFonts w:ascii="Times New Roman" w:hAnsi="Times New Roman"/>
          <w:b/>
          <w:i w:val="0"/>
          <w:sz w:val="24"/>
        </w:rPr>
        <w:t>Вины ответчика нет.</w:t>
      </w:r>
      <w:r>
        <w:rPr>
          <w:rFonts w:ascii="Times New Roman" w:hAnsi="Times New Roman"/>
          <w:b w:val="0"/>
          <w:i w:val="0"/>
          <w:sz w:val="24"/>
        </w:rPr>
        <w:t xml:space="preserve"> Пунктом 2 статьи 1064 ГК РФ установлено: «Лицо, причинившее вред, освобождается от возмещения вреда, если докажет, что вред причинен не по его вине. Законом может быть предусмотрено возмещение вреда и при отсутствии вины причинителя вреда.» [Работы велись в соответствии с проектом и разрешением; авария произошла из-за скрытого дефекта коммуникаций, о котором ответчик не знал и не мог знать.]</w:t>
      </w:r>
    </w:p>
    <w:p>
      <w:pPr>
        <w:spacing w:after="120" w:line="276" w:lineRule="auto"/>
        <w:ind w:firstLine="709"/>
        <w:jc w:val="both"/>
      </w:pPr>
      <w:r>
        <w:rPr>
          <w:rFonts w:ascii="Times New Roman" w:hAnsi="Times New Roman"/>
          <w:b/>
          <w:i w:val="0"/>
          <w:sz w:val="24"/>
        </w:rPr>
        <w:t>Работник действовал не при исполнении трудовых обязанностей.</w:t>
      </w:r>
      <w:r>
        <w:rPr>
          <w:rFonts w:ascii="Times New Roman" w:hAnsi="Times New Roman"/>
          <w:b w:val="0"/>
          <w:i w:val="0"/>
          <w:sz w:val="24"/>
        </w:rPr>
        <w:t xml:space="preserve"> Пунктом 1 статьи 1068 ГК РФ установлено: «Юридическое лицо либо гражданин возмещает вред, причиненный его работником при исполнении трудовых (служебных, должностных) обязанностей.» [Водитель / работник] в момент события [использовал транспорт в личных целях вне рабочего времени без поручения работодателя — путевой лист не выдавался].</w:t>
      </w:r>
    </w:p>
    <w:p>
      <w:pPr>
        <w:spacing w:after="120" w:line="276" w:lineRule="auto"/>
        <w:ind w:firstLine="709"/>
        <w:jc w:val="both"/>
      </w:pPr>
      <w:r>
        <w:rPr>
          <w:rFonts w:ascii="Times New Roman" w:hAnsi="Times New Roman"/>
          <w:b/>
          <w:i w:val="0"/>
          <w:sz w:val="24"/>
        </w:rPr>
        <w:t>Грубая неосторожность потерпевшего.</w:t>
      </w:r>
      <w:r>
        <w:rPr>
          <w:rFonts w:ascii="Times New Roman" w:hAnsi="Times New Roman"/>
          <w:b w:val="0"/>
          <w:i w:val="0"/>
          <w:sz w:val="24"/>
        </w:rPr>
        <w:t xml:space="preserve"> Пунктом 2 статьи 1083 ГК РФ установлено: «Если грубая неосторожность самого потерпевшего содействовала возникновению или увеличению вреда, в зависимости от степени вины потерпевшего и причинителя вреда размер возмещения должен быть уменьшен.» [Истец хранил товар в подвале без поддонов вопреки требованиям / не закрыл запорную арматуру после предупреждения / не обеспечил противопожарный разрыв].</w:t>
      </w:r>
    </w:p>
    <w:p>
      <w:pPr>
        <w:spacing w:after="120" w:line="276" w:lineRule="auto"/>
        <w:ind w:firstLine="709"/>
        <w:jc w:val="both"/>
      </w:pPr>
      <w:r>
        <w:rPr>
          <w:rFonts w:ascii="Times New Roman" w:hAnsi="Times New Roman"/>
          <w:b/>
          <w:i w:val="0"/>
          <w:sz w:val="24"/>
        </w:rPr>
        <w:t>Размер ущерба завышен.</w:t>
      </w:r>
      <w:r>
        <w:rPr>
          <w:rFonts w:ascii="Times New Roman" w:hAnsi="Times New Roman"/>
          <w:b w:val="0"/>
          <w:i w:val="0"/>
          <w:sz w:val="24"/>
        </w:rPr>
        <w:t xml:space="preserve"> Пунктом 2 статьи 15 ГК РФ: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Акт осмотра составлен истцом без вызова ответчика, оценка проведена [без учёта износа / по стоимости новых материалов / с включением повреждений, не связанных с событием]. Ответчик ходатайствует о назначении судебной экспертизы (часть 1 статьи 82 АПК РФ: «Для разъяснения возникающих при рассмотрении дела вопросов, требующих специальных знаний, арбитражный суд назначает экспертизу по ходатайству лица, участвующего в деле, или с согласия лиц, участвующих в деле. В случае, если назначение экспертизы предписано законом или предусмотрено договором либо необходимо для проверки заявления о фальсификации представленного доказательства либо если необходимо проведение дополнительной или повторной экспертизы, арбитражный суд может назначить экспертизу по своей инициативе.»).</w:t>
      </w:r>
    </w:p>
    <w:p>
      <w:pPr>
        <w:spacing w:after="120" w:line="276" w:lineRule="auto"/>
        <w:jc w:val="center"/>
      </w:pPr>
      <w:r>
        <w:rPr>
          <w:rFonts w:ascii="Times New Roman" w:hAnsi="Times New Roman"/>
          <w:b/>
          <w:i w:val="0"/>
          <w:sz w:val="24"/>
        </w:rPr>
        <w:t>III. Процессуальные возражения</w:t>
      </w:r>
    </w:p>
    <w:p>
      <w:pPr>
        <w:spacing w:after="120" w:line="276" w:lineRule="auto"/>
        <w:ind w:firstLine="709"/>
        <w:jc w:val="both"/>
      </w:pPr>
      <w:r>
        <w:rPr>
          <w:rFonts w:ascii="Times New Roman" w:hAnsi="Times New Roman"/>
          <w:b/>
          <w:i w:val="0"/>
          <w:sz w:val="24"/>
        </w:rPr>
        <w:t>Ответчик заявляет о пропуске срока исковой давности.</w:t>
      </w:r>
      <w:r>
        <w:rPr>
          <w:rFonts w:ascii="Times New Roman" w:hAnsi="Times New Roman"/>
          <w:b w:val="0"/>
          <w:i w:val="0"/>
          <w:sz w:val="24"/>
        </w:rPr>
        <w:t xml:space="preserve"> Пунктом 1 статьи 196 Гражданского кодекса Российской Федерации (далее — ГК РФ) установлено: «Общий срок исковой давности составляет три года со дня, определяемого в соответствии со статьей 200 настоящего Кодекса.» Согласно пункту 1 статьи 200 ГК РФ «Если законом не установлено иное, течение срока исковой давности начинается со дня, когда лицо узнало или должно было узнать о нарушении своего права и о том, кто является надлежащим ответчиком по иску о защите этого права.» Срок начал течь с даты причинения вреда «[дата]» и даже с учётом приостановления на время претензионного порядка истёк «[дата]», а иск подан «[дата]». Пунктом 2 статьи 199 ГК РФ предусмотрено: «Исковая давность применяется судом только по заявлению стороны в споре, сделанному до вынесения судом решения.» «Истечение срока исковой давности, о применении которой заявлено стороной в споре, является основанием к вынесению судом решения об отказе в иске.» [Укажите, по каким платежам (периодам) давность пропущена; если не пропущена — удалите абзац.]</w:t>
      </w:r>
    </w:p>
    <w:p>
      <w:pPr>
        <w:spacing w:after="120" w:line="276" w:lineRule="auto"/>
        <w:jc w:val="center"/>
      </w:pPr>
      <w:r>
        <w:rPr>
          <w:rFonts w:ascii="Times New Roman" w:hAnsi="Times New Roman"/>
          <w:b/>
          <w:i w:val="0"/>
          <w:sz w:val="24"/>
        </w:rPr>
        <w:t>Примирение сторон</w:t>
      </w:r>
    </w:p>
    <w:p>
      <w:pPr>
        <w:spacing w:after="120" w:line="276" w:lineRule="auto"/>
        <w:ind w:firstLine="709"/>
        <w:jc w:val="both"/>
      </w:pPr>
      <w:r>
        <w:rPr>
          <w:rFonts w:ascii="Times New Roman" w:hAnsi="Times New Roman"/>
          <w:b w:val="0"/>
          <w:i w:val="0"/>
          <w:sz w:val="24"/>
        </w:rPr>
        <w:t>Пунктами 3.1 и 3.2 части 5 статьи 131 АПК РФ в отзыве указываются «3.1) сведения о предпринятых ответчиком действиях, направленных на примирение, если такие действия предпринимались» а также «3.2) мнение ответчика о возможности примирения сторон» Ответчик [направлял истцу предложение об урегулировании спора от «[дата]» / предлагал рассрочку погашения — письмо от «[дата]» № [__]]. Ответчик [готов / не готов] к заключению мирового соглашения [на условиях: указать] и [не возражает / возражает] против проведения переговоров или процедуры медиации.</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Абзацем вторым той же части предусмотрено: «В случае, если иск удовлетворен частично, судебные расходы относятся на лиц, участвующих в деле, пропорционально размеру удовлетворенных исковых требований.» Поскольку требования истца не подлежат удовлетворению, расходы истца на него и относятся.</w:t>
      </w:r>
    </w:p>
    <w:p>
      <w:pPr>
        <w:spacing w:after="120" w:line="276" w:lineRule="auto"/>
        <w:ind w:firstLine="709"/>
        <w:jc w:val="both"/>
      </w:pPr>
      <w:r>
        <w:rPr>
          <w:rFonts w:ascii="Times New Roman" w:hAnsi="Times New Roman"/>
          <w:b w:val="0"/>
          <w:i w:val="0"/>
          <w:sz w:val="24"/>
        </w:rPr>
        <w:t>Согласно части 2 статьи 110 АПК РФ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Заявленные истцом расходы на представителя в сумме [сумма] рублей [чрезмерны: дело типовое, объём документов небольшой / не подтверждены актом и платёжными документами]. Расходы ответчика на представителя — [сумма] рублей (договор от «[дата]» № [__]) — подлежат взысканию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15, 1064, 1068, 1083 ГК РФ, статьями 65, 70, 71, 82, 131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[наименование истца] в удовлетворении исковых требований о возмещении вреда к [наименование ответчика] в полном объёме.</w:t>
      </w:r>
    </w:p>
    <w:p>
      <w:pPr>
        <w:spacing w:after="120" w:line="276" w:lineRule="auto"/>
        <w:ind w:firstLine="709"/>
        <w:jc w:val="both"/>
      </w:pPr>
      <w:r>
        <w:rPr>
          <w:rFonts w:ascii="Times New Roman" w:hAnsi="Times New Roman"/>
          <w:b w:val="0"/>
          <w:i w:val="0"/>
          <w:sz w:val="24"/>
        </w:rPr>
        <w:t>2. Назначить судебную экспертизу по вопросам о причине [залива / пожара], месте его возникновения и размере ущерба.</w:t>
      </w:r>
    </w:p>
    <w:p>
      <w:pPr>
        <w:spacing w:after="120" w:line="276" w:lineRule="auto"/>
        <w:ind w:firstLine="709"/>
        <w:jc w:val="both"/>
      </w:pPr>
      <w:r>
        <w:rPr>
          <w:rFonts w:ascii="Times New Roman" w:hAnsi="Times New Roman"/>
          <w:b w:val="0"/>
          <w:i w:val="0"/>
          <w:sz w:val="24"/>
        </w:rPr>
        <w:t>3. Взыскать с [наименование истца] в пользу [наименование ответчика]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копии отзыва истцу и другим лицам, участвующим в деле (почтовая квитанция и уведомление о вручении / подтверждение отправки через систему «Мой арбитр» или по электронной почте).</w:t>
      </w:r>
    </w:p>
    <w:p>
      <w:pPr>
        <w:spacing w:after="40" w:line="276" w:lineRule="auto"/>
        <w:jc w:val="left"/>
      </w:pPr>
      <w:r>
        <w:rPr>
          <w:rFonts w:ascii="Times New Roman" w:hAnsi="Times New Roman"/>
          <w:b w:val="0"/>
          <w:i w:val="0"/>
          <w:sz w:val="24"/>
        </w:rPr>
        <w:t>2. Акты о причинах события, заключение МЧС (иных органов), документы о зоне ответственности.</w:t>
      </w:r>
    </w:p>
    <w:p>
      <w:pPr>
        <w:spacing w:after="40" w:line="276" w:lineRule="auto"/>
        <w:jc w:val="left"/>
      </w:pPr>
      <w:r>
        <w:rPr>
          <w:rFonts w:ascii="Times New Roman" w:hAnsi="Times New Roman"/>
          <w:b w:val="0"/>
          <w:i w:val="0"/>
          <w:sz w:val="24"/>
        </w:rPr>
        <w:t>3. Документы о соблюдении ответчиком правил производства работ (проект, разрешение, журнал).</w:t>
      </w:r>
    </w:p>
    <w:p>
      <w:pPr>
        <w:spacing w:after="40" w:line="276" w:lineRule="auto"/>
        <w:jc w:val="left"/>
      </w:pPr>
      <w:r>
        <w:rPr>
          <w:rFonts w:ascii="Times New Roman" w:hAnsi="Times New Roman"/>
          <w:b w:val="0"/>
          <w:i w:val="0"/>
          <w:sz w:val="24"/>
        </w:rPr>
        <w:t>4. Документы о действиях потерпевшего, способствовавших вреду.</w:t>
      </w:r>
    </w:p>
    <w:p>
      <w:pPr>
        <w:spacing w:after="40" w:line="276" w:lineRule="auto"/>
        <w:jc w:val="left"/>
      </w:pPr>
      <w:r>
        <w:rPr>
          <w:rFonts w:ascii="Times New Roman" w:hAnsi="Times New Roman"/>
          <w:b w:val="0"/>
          <w:i w:val="0"/>
          <w:sz w:val="24"/>
        </w:rPr>
        <w:t>5. Документы о расходах ответчика на представителя (договор, акт оказанных услуг, платёжное поручение) [если заявлены].</w:t>
      </w:r>
    </w:p>
    <w:p>
      <w:pPr>
        <w:spacing w:after="40" w:line="276" w:lineRule="auto"/>
        <w:jc w:val="left"/>
      </w:pPr>
      <w:r>
        <w:rPr>
          <w:rFonts w:ascii="Times New Roman" w:hAnsi="Times New Roman"/>
          <w:b w:val="0"/>
          <w:i w:val="0"/>
          <w:sz w:val="24"/>
        </w:rPr>
        <w:t>6. Документ о полномочиях лица, подписавшего отзыв: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0" w:line="276" w:lineRule="auto" w:before="360"/>
        <w:jc w:val="left"/>
      </w:pPr>
      <w:r>
        <w:rPr>
          <w:rFonts w:ascii="Times New Roman" w:hAnsi="Times New Roman"/>
          <w:b w:val="0"/>
          <w:i w:val="0"/>
          <w:sz w:val="24"/>
        </w:rPr>
        <w:t>«___» __________ 20__ г.</w:t>
        <w:tab/>
        <w:tab/>
        <w:tab/>
        <w:tab/>
        <w:t>__________________ / [Ф. И. О. руководителя или представителя ответчика]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Для внедоговорной ответственности претензионный порядок по ч. 5 ст. 4 АПК РФ не требуется, но вина ответчика презюмируется (п. 2 ст. 1064 ГК РФ): отсутствие вины доказывает он сам.</w:t>
      </w:r>
    </w:p>
    <w:p>
      <w:pPr>
        <w:spacing w:after="40" w:line="276" w:lineRule="auto"/>
        <w:jc w:val="both"/>
      </w:pPr>
      <w:r>
        <w:rPr>
          <w:rFonts w:ascii="Times New Roman" w:hAnsi="Times New Roman"/>
          <w:b w:val="0"/>
          <w:i/>
          <w:sz w:val="24"/>
        </w:rPr>
        <w:t>— Отзыв направляют в суд и всем лицам, участвующим в деле, в срок из определения суда (ч. 1, 3 ст. 131 АПК РФ), удобнее всего — через «Мой арбитр». В упрощённом производстве опоздавший отзыв суд возвращает (ч. 4 ст. 228 АПК РФ).</w:t>
      </w:r>
    </w:p>
    <w:p>
      <w:pPr>
        <w:spacing w:after="40" w:line="276" w:lineRule="auto"/>
        <w:jc w:val="both"/>
      </w:pPr>
      <w:r>
        <w:rPr>
          <w:rFonts w:ascii="Times New Roman" w:hAnsi="Times New Roman"/>
          <w:b w:val="0"/>
          <w:i/>
          <w:sz w:val="24"/>
        </w:rPr>
        <w:t>— Не оспоренные прямо обстоятельства считаются признанными (ч. 3.1 ст. 70 АПК РФ), поэтому возражайте по каждому доводу истца.</w:t>
      </w:r>
    </w:p>
    <w:p>
      <w:pPr>
        <w:spacing w:after="40" w:line="276" w:lineRule="auto"/>
        <w:jc w:val="both"/>
      </w:pPr>
      <w:r>
        <w:rPr>
          <w:rFonts w:ascii="Times New Roman" w:hAnsi="Times New Roman"/>
          <w:b w:val="0"/>
          <w:i/>
          <w:sz w:val="24"/>
        </w:rPr>
        <w:t>— Шаблон содержит максимальный набор доводов: оставьте только те, что подтверждаются вашими документами.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