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неотработанного аванса, процентов и убытков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неотработанного аванса по договору подряда от «[дата]» № [__] в размере [сумма] рублей, процентов за пользование чужими денежными средствами в размере [сумма] рублей [и убытков].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Аванс отработан: работы выполнены до получения уведомления об отказе от договора.</w:t>
      </w:r>
      <w:r>
        <w:rPr>
          <w:rFonts w:ascii="Times New Roman" w:hAnsi="Times New Roman"/>
          <w:b w:val="0"/>
          <w:i w:val="0"/>
          <w:sz w:val="24"/>
        </w:rPr>
        <w:t xml:space="preserve"> К моменту прекращения Договора подрядчик выполнил работы на сумму [сумма] рублей, что подтверждается [актами КС-2, направленными заказчику «[дата]», исполнительной документацией, журналом работ, фотофиксацией]. Статьёй 729 ГК РФ установлено: «В случае прекращения договора подряда по основаниям, предусмотренным законом или договором, до приемки заказчиком результата работы, выполненной подрядчиком (пункт 1 статьи 720), заказчик вправе требовать передачи ему результата незавершенной работы с компенсацией подрядчику произведенных затрат.» Пунктом 4 статьи 453 ГК РФ предусмотрено: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При определении сальдо встречных обязательств стоимость выполненных работ вычитается из аванса.</w:t>
      </w:r>
    </w:p>
    <w:p>
      <w:pPr>
        <w:spacing w:after="120" w:line="276" w:lineRule="auto"/>
        <w:ind w:firstLine="709"/>
        <w:jc w:val="both"/>
      </w:pPr>
      <w:r>
        <w:rPr>
          <w:rFonts w:ascii="Times New Roman" w:hAnsi="Times New Roman"/>
          <w:b/>
          <w:i w:val="0"/>
          <w:sz w:val="24"/>
        </w:rPr>
        <w:t>Отказ заказчика от договора основан на статье 717, а не на статье 715 ГК РФ.</w:t>
      </w:r>
      <w:r>
        <w:rPr>
          <w:rFonts w:ascii="Times New Roman" w:hAnsi="Times New Roman"/>
          <w:b w:val="0"/>
          <w:i w:val="0"/>
          <w:sz w:val="24"/>
        </w:rPr>
        <w:t xml:space="preserve"> Пунктом 2 статьи 715 ГК РФ установлено: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Подрядчик приступил к работам своевременно и выполнял их по графику [или отставание вызвано заказчиком — см. ниже]. Следовательно, отказ заказчика является немотивированным отказом по статье 717 ГК РФ: «Если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 В таком случае заказчик обязан оплатить выполненную часть работ и возместить подрядчику убытки, а не требовать весь аванс.</w:t>
      </w:r>
    </w:p>
    <w:p>
      <w:pPr>
        <w:spacing w:after="120" w:line="276" w:lineRule="auto"/>
        <w:ind w:firstLine="709"/>
        <w:jc w:val="both"/>
      </w:pPr>
      <w:r>
        <w:rPr>
          <w:rFonts w:ascii="Times New Roman" w:hAnsi="Times New Roman"/>
          <w:b/>
          <w:i w:val="0"/>
          <w:sz w:val="24"/>
        </w:rPr>
        <w:t>Сроки сорваны из-за неисполнения заказчиком встречных обязанностей.</w:t>
      </w:r>
      <w:r>
        <w:rPr>
          <w:rFonts w:ascii="Times New Roman" w:hAnsi="Times New Roman"/>
          <w:b w:val="0"/>
          <w:i w:val="0"/>
          <w:sz w:val="24"/>
        </w:rPr>
        <w:t xml:space="preserve"> Пунктом 1 статьи 718 ГК РФ установлено: «Заказчик обязан в случаях, в объеме и в порядке, предусмотренных договором подряда, оказывать подрядчику содействие в выполнении работы.» «При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договоре цены работы.» Пунктом 1 статьи 719 ГК РФ предусмотрено: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(статья 328).» Заказчик [передал строительную площадку / проектную документацию / давальческие материалы только «[дата]» / вносил изменения в документацию / задержал авансирование на [__] дней], о чём подрядчик письменно уведомлял его «[дата]» и приостанавливал работы. Пунктом 3 статьи 405 ГК РФ установлено: «Должник не считается просрочившим, пока обязательство не может быть исполнено вследствие просрочки кредитора.»</w:t>
      </w:r>
    </w:p>
    <w:p>
      <w:pPr>
        <w:spacing w:after="120" w:line="276" w:lineRule="auto"/>
        <w:ind w:firstLine="709"/>
        <w:jc w:val="both"/>
      </w:pPr>
      <w:r>
        <w:rPr>
          <w:rFonts w:ascii="Times New Roman" w:hAnsi="Times New Roman"/>
          <w:b/>
          <w:i w:val="0"/>
          <w:sz w:val="24"/>
        </w:rPr>
        <w:t>Неосновательного обогащения нет.</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Полученный аванс эквивалентен работам, которые заказчик получил [и использует / передал новому подрядчику]. Если заказчик считает объём работ меньшим, это подлежит проверке экспертизой.</w:t>
      </w:r>
    </w:p>
    <w:p>
      <w:pPr>
        <w:spacing w:after="120" w:line="276" w:lineRule="auto"/>
        <w:ind w:firstLine="709"/>
        <w:jc w:val="both"/>
      </w:pPr>
      <w:r>
        <w:rPr>
          <w:rFonts w:ascii="Times New Roman" w:hAnsi="Times New Roman"/>
          <w:b/>
          <w:i w:val="0"/>
          <w:sz w:val="24"/>
        </w:rPr>
        <w:t>Объём выполненных работ истцом занижен.</w:t>
      </w:r>
      <w:r>
        <w:rPr>
          <w:rFonts w:ascii="Times New Roman" w:hAnsi="Times New Roman"/>
          <w:b w:val="0"/>
          <w:i w:val="0"/>
          <w:sz w:val="24"/>
        </w:rPr>
        <w:t xml:space="preserve"> Заказчик не учёл [скрытые работы, приобретённые и смонтированные материалы, работы этапа [__]].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Ответчик ходатайствует о назначении судебной строительно-технической экспертизы для определения объёма, стоимости и качества фактически выполненных работ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Проценты начислены не с той даты.</w:t>
      </w:r>
      <w:r>
        <w:rPr>
          <w:rFonts w:ascii="Times New Roman" w:hAnsi="Times New Roman"/>
          <w:b w:val="0"/>
          <w:i w:val="0"/>
          <w:sz w:val="24"/>
        </w:rPr>
        <w:t xml:space="preserve"> Пунктом 2 статьи 1107 ГК РФ установлено: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Договор прекращён лишь «[дата]» — с даты получения подрядчиком уведомления (пункт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до этого аванс удерживался по действующему договору, и проценты за период до «[дата]» не начисляются.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450.1, 453, 715, 717, 718, 719, 729, 1102, 1107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неотработанного аванса, процентов 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строительно-техническую экспертизу по вопросу о стоимости работ, выполненных подрядчиком до «[дата]».</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Акты КС-2, КС-3, направленные заказчику, и доказательства их направления.</w:t>
      </w:r>
    </w:p>
    <w:p>
      <w:pPr>
        <w:spacing w:after="40" w:line="276" w:lineRule="auto"/>
        <w:jc w:val="left"/>
      </w:pPr>
      <w:r>
        <w:rPr>
          <w:rFonts w:ascii="Times New Roman" w:hAnsi="Times New Roman"/>
          <w:b w:val="0"/>
          <w:i w:val="0"/>
          <w:sz w:val="24"/>
        </w:rPr>
        <w:t>3. Исполнительная документация, общий журнал работ, фотофиксация, документы о закупке материалов.</w:t>
      </w:r>
    </w:p>
    <w:p>
      <w:pPr>
        <w:spacing w:after="40" w:line="276" w:lineRule="auto"/>
        <w:jc w:val="left"/>
      </w:pPr>
      <w:r>
        <w:rPr>
          <w:rFonts w:ascii="Times New Roman" w:hAnsi="Times New Roman"/>
          <w:b w:val="0"/>
          <w:i w:val="0"/>
          <w:sz w:val="24"/>
        </w:rPr>
        <w:t>4. Переписка о неисполнении заказчиком встречных обязанностей и о приостановлении работ.</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работы выполнены, но акты не подписаны, направьте их заказчику до заседания и заявите ходатайство об экспертизе: суд определит сальдо как разницу между авансом и стоимостью фактически выполненного.</w:t>
      </w:r>
    </w:p>
    <w:p>
      <w:pPr>
        <w:spacing w:after="40" w:line="276" w:lineRule="auto"/>
        <w:jc w:val="both"/>
      </w:pPr>
      <w:r>
        <w:rPr>
          <w:rFonts w:ascii="Times New Roman" w:hAnsi="Times New Roman"/>
          <w:b w:val="0"/>
          <w:i/>
          <w:sz w:val="24"/>
        </w:rPr>
        <w:t>— Немотивированный отказ заказчика (ст. 717 ГК РФ) даёт подрядчику право на оплату выполненной части и убытки — их можно предъявить встречным иском (ст. 132 АПК РФ).</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