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160" w:line="276" w:lineRule="auto"/>
        <w:jc w:val="right"/>
      </w:pPr>
      <w:r>
        <w:rPr>
          <w:rFonts w:ascii="Times New Roman" w:hAnsi="Times New Roman"/>
          <w:b w:val="0"/>
          <w:i w:val="0"/>
          <w:sz w:val="24"/>
        </w:rPr>
        <w:t>В Арбитражный суд [наименование субъекта Российской Федерации: города Москвы / Московской области / …]</w:t>
      </w:r>
      <w:r>
        <w:rPr>
          <w:rFonts w:ascii="Times New Roman" w:hAnsi="Times New Roman"/>
          <w:b w:val="0"/>
          <w:i w:val="0"/>
          <w:sz w:val="24"/>
        </w:rPr>
        <w:br/>
        <w:t>[адрес суда]</w:t>
      </w:r>
      <w:r>
        <w:rPr>
          <w:rFonts w:ascii="Times New Roman" w:hAnsi="Times New Roman"/>
          <w:b w:val="0"/>
          <w:i w:val="0"/>
          <w:sz w:val="24"/>
        </w:rPr>
        <w:br/>
        <w:t>Дело № А[__]-[_____]/20[__]</w:t>
      </w:r>
      <w:r>
        <w:rPr>
          <w:rFonts w:ascii="Times New Roman" w:hAnsi="Times New Roman"/>
          <w:b w:val="0"/>
          <w:i w:val="0"/>
          <w:sz w:val="24"/>
        </w:rPr>
        <w:br/>
        <w:t>Судья: [Ф. И. О. судьи]</w:t>
      </w:r>
    </w:p>
    <w:p>
      <w:pPr>
        <w:spacing w:after="160" w:line="276" w:lineRule="auto"/>
        <w:jc w:val="right"/>
      </w:pPr>
      <w:r>
        <w:rPr>
          <w:rFonts w:ascii="Times New Roman" w:hAnsi="Times New Roman"/>
          <w:b/>
          <w:i w:val="0"/>
          <w:sz w:val="24"/>
        </w:rPr>
        <w:t xml:space="preserve">Истец: </w:t>
      </w:r>
      <w:r>
        <w:rPr>
          <w:rFonts w:ascii="Times New Roman" w:hAnsi="Times New Roman"/>
          <w:b w:val="0"/>
          <w:i w:val="0"/>
          <w:sz w:val="24"/>
        </w:rPr>
        <w:t>поставщик</w:t>
      </w:r>
      <w:r>
        <w:rPr>
          <w:rFonts w:ascii="Times New Roman" w:hAnsi="Times New Roman"/>
          <w:b w:val="0"/>
          <w:i w:val="0"/>
          <w:sz w:val="24"/>
        </w:rPr>
        <w:br/>
        <w:t>[полное наименование организации / индивидуальный предприниматель Ф. И. О.]</w:t>
      </w:r>
      <w:r>
        <w:rPr>
          <w:rFonts w:ascii="Times New Roman" w:hAnsi="Times New Roman"/>
          <w:b w:val="0"/>
          <w:i w:val="0"/>
          <w:sz w:val="24"/>
        </w:rPr>
        <w:br/>
        <w:t>адрес: [адрес из ЕГРЮЛ / место жительства ИП]</w:t>
      </w:r>
      <w:r>
        <w:rPr>
          <w:rFonts w:ascii="Times New Roman" w:hAnsi="Times New Roman"/>
          <w:b w:val="0"/>
          <w:i w:val="0"/>
          <w:sz w:val="24"/>
        </w:rPr>
        <w:br/>
        <w:t>ИНН [__________], ОГРН (ОГРНИП) [__________]</w:t>
      </w:r>
    </w:p>
    <w:p>
      <w:pPr>
        <w:spacing w:after="160" w:line="276" w:lineRule="auto"/>
        <w:jc w:val="right"/>
      </w:pPr>
      <w:r>
        <w:rPr>
          <w:rFonts w:ascii="Times New Roman" w:hAnsi="Times New Roman"/>
          <w:b/>
          <w:i w:val="0"/>
          <w:sz w:val="24"/>
        </w:rPr>
        <w:t xml:space="preserve">Ответчик: </w:t>
      </w:r>
      <w:r>
        <w:rPr>
          <w:rFonts w:ascii="Times New Roman" w:hAnsi="Times New Roman"/>
          <w:b w:val="0"/>
          <w:i w:val="0"/>
          <w:sz w:val="24"/>
        </w:rPr>
        <w:t>поручитель (ответчик 2)</w:t>
      </w:r>
      <w:r>
        <w:rPr>
          <w:rFonts w:ascii="Times New Roman" w:hAnsi="Times New Roman"/>
          <w:b w:val="0"/>
          <w:i w:val="0"/>
          <w:sz w:val="24"/>
        </w:rPr>
        <w:br/>
        <w:t>[полное наименование организации / индивидуальный предприниматель Ф. И. О.]</w:t>
      </w:r>
      <w:r>
        <w:rPr>
          <w:rFonts w:ascii="Times New Roman" w:hAnsi="Times New Roman"/>
          <w:b w:val="0"/>
          <w:i w:val="0"/>
          <w:sz w:val="24"/>
        </w:rPr>
        <w:br/>
        <w:t>адрес: [адрес из ЕГРЮЛ / место жительства ИП]</w:t>
      </w:r>
      <w:r>
        <w:rPr>
          <w:rFonts w:ascii="Times New Roman" w:hAnsi="Times New Roman"/>
          <w:b w:val="0"/>
          <w:i w:val="0"/>
          <w:sz w:val="24"/>
        </w:rPr>
        <w:br/>
        <w:t>ИНН [__________], ОГРН (ОГРНИП) [__________]</w:t>
      </w:r>
      <w:r>
        <w:rPr>
          <w:rFonts w:ascii="Times New Roman" w:hAnsi="Times New Roman"/>
          <w:b w:val="0"/>
          <w:i w:val="0"/>
          <w:sz w:val="24"/>
        </w:rPr>
        <w:br/>
        <w:t>телефон: [__________], адрес электронной почты: [__________]</w:t>
      </w:r>
    </w:p>
    <w:p>
      <w:pPr>
        <w:spacing w:after="160" w:line="276" w:lineRule="auto"/>
        <w:jc w:val="right"/>
      </w:pPr>
      <w:r>
        <w:rPr>
          <w:rFonts w:ascii="Times New Roman" w:hAnsi="Times New Roman"/>
          <w:b/>
          <w:i w:val="0"/>
          <w:sz w:val="24"/>
        </w:rPr>
        <w:t xml:space="preserve">Ответчик 1: </w:t>
      </w:r>
      <w:r>
        <w:rPr>
          <w:rFonts w:ascii="Times New Roman" w:hAnsi="Times New Roman"/>
          <w:b w:val="0"/>
          <w:i w:val="0"/>
          <w:sz w:val="24"/>
        </w:rPr>
        <w:t>покупатель</w:t>
      </w:r>
      <w:r>
        <w:rPr>
          <w:rFonts w:ascii="Times New Roman" w:hAnsi="Times New Roman"/>
          <w:b w:val="0"/>
          <w:i w:val="0"/>
          <w:sz w:val="24"/>
        </w:rPr>
        <w:br/>
        <w:t>[наименование организации]</w:t>
      </w:r>
      <w:r>
        <w:rPr>
          <w:rFonts w:ascii="Times New Roman" w:hAnsi="Times New Roman"/>
          <w:b w:val="0"/>
          <w:i w:val="0"/>
          <w:sz w:val="24"/>
        </w:rPr>
        <w:br/>
        <w:t>адрес: [адрес из ЕГРЮЛ]</w:t>
      </w:r>
      <w:r>
        <w:rPr>
          <w:rFonts w:ascii="Times New Roman" w:hAnsi="Times New Roman"/>
          <w:b w:val="0"/>
          <w:i w:val="0"/>
          <w:sz w:val="24"/>
        </w:rPr>
        <w:br/>
        <w:t>ИНН [__________], ОГРН [__________]</w:t>
      </w:r>
    </w:p>
    <w:p>
      <w:pPr>
        <w:spacing w:after="0" w:line="276" w:lineRule="auto"/>
        <w:jc w:val="center"/>
      </w:pPr>
      <w:r>
        <w:rPr>
          <w:rFonts w:ascii="Times New Roman" w:hAnsi="Times New Roman"/>
          <w:b/>
          <w:i w:val="0"/>
          <w:sz w:val="24"/>
        </w:rPr>
        <w:t>ОТЗЫВ НА ИСКОВОЕ ЗАЯВЛЕНИЕ</w:t>
      </w:r>
    </w:p>
    <w:p>
      <w:pPr>
        <w:spacing w:after="240" w:line="276" w:lineRule="auto"/>
        <w:jc w:val="center"/>
      </w:pPr>
      <w:r>
        <w:rPr>
          <w:rFonts w:ascii="Times New Roman" w:hAnsi="Times New Roman"/>
          <w:b/>
          <w:i w:val="0"/>
          <w:sz w:val="24"/>
        </w:rPr>
        <w:t>о солидарном взыскании задолженности по договору поставки с покупателя и поручителя</w:t>
      </w:r>
    </w:p>
    <w:p>
      <w:pPr>
        <w:spacing w:after="120" w:line="276" w:lineRule="auto"/>
        <w:jc w:val="center"/>
      </w:pPr>
      <w:r>
        <w:rPr>
          <w:rFonts w:ascii="Times New Roman" w:hAnsi="Times New Roman"/>
          <w:b/>
          <w:i w:val="0"/>
          <w:sz w:val="24"/>
        </w:rPr>
        <w:t>I. Позиция ответчика</w:t>
      </w:r>
    </w:p>
    <w:p>
      <w:pPr>
        <w:spacing w:after="120" w:line="276" w:lineRule="auto"/>
        <w:ind w:firstLine="709"/>
        <w:jc w:val="both"/>
      </w:pPr>
      <w:r>
        <w:rPr>
          <w:rFonts w:ascii="Times New Roman" w:hAnsi="Times New Roman"/>
          <w:b w:val="0"/>
          <w:i w:val="0"/>
          <w:sz w:val="24"/>
        </w:rPr>
        <w:t>В производстве Арбитражного суда находится дело № А[__]-[_____]/20[__] по исковому заявлению [наименование истца] к [наименование ответчика] к [наименование покупателя] и [наименование поручителя] о солидарном взыскании задолженности по договору поставки от «[дата]» № [__] в размере [сумма] рублей и неустойки в размере [сумма] рублей; настоящий отзыв представляет ответчик 2 — поручитель. Определение о принятии искового заявления к производству и копию иска ответчик получил «[дата]». Ответчик исковые требования не признаёт [в полном объёме / в части: указать] по основаниям, изложенным ниже. Отзыв представляется по статье 131 Арбитражного процессуального кодекса Российской Федерации (далее — АПК РФ), пунктом 3 части 5 которой в отзыве требуется указать «возражения относительно каждого довода, касающегося существа заявленных требований, со ссылкой на законы и иные нормативные правовые акты, а также на доказательства, обосновывающие возражения».</w:t>
      </w:r>
    </w:p>
    <w:p>
      <w:pPr>
        <w:spacing w:after="120" w:line="276" w:lineRule="auto"/>
        <w:ind w:firstLine="709"/>
        <w:jc w:val="both"/>
      </w:pPr>
      <w:r>
        <w:rPr>
          <w:rFonts w:ascii="Times New Roman" w:hAnsi="Times New Roman"/>
          <w:b/>
          <w:i w:val="0"/>
          <w:sz w:val="24"/>
        </w:rPr>
        <w:t>Бремя доказывания лежит на истце.</w:t>
      </w:r>
      <w:r>
        <w:rPr>
          <w:rFonts w:ascii="Times New Roman" w:hAnsi="Times New Roman"/>
          <w:b w:val="0"/>
          <w:i w:val="0"/>
          <w:sz w:val="24"/>
        </w:rPr>
        <w:t xml:space="preserve"> Согласно части 1 статьи 65 АПК РФ «Каждое лицо, участвующее в деле, должно доказать обстоятельства, на которые оно ссылается как на основание своих требований и возражений. Обязанность доказывания обстоятельств, послуживших основанием для принятия государственными органами, органами местного самоуправления, иными органами, должностными лицами оспариваемых актов, решений, совершения действий (бездействия), возлагается на соответствующие орган или должностное лицо.» Ответчик оспаривает все обстоятельства, на которые ссылается истец, поскольку в силу части 3.1 статьи 70 АПК РФ «Обстоятельства, на которые ссылается сторона в обоснование своих требований или возражений, считаются признанными другой стороной, если они ею прямо не оспорены или несогласие с такими обстоятельствами не вытекает из иных доказательств, обосновывающих представленные возражения относительно существа заявленных требований.»</w:t>
      </w:r>
    </w:p>
    <w:p>
      <w:pPr>
        <w:spacing w:after="120" w:line="276" w:lineRule="auto"/>
        <w:jc w:val="center"/>
      </w:pPr>
      <w:r>
        <w:rPr>
          <w:rFonts w:ascii="Times New Roman" w:hAnsi="Times New Roman"/>
          <w:b/>
          <w:i w:val="0"/>
          <w:sz w:val="24"/>
        </w:rPr>
        <w:t>II. Возражения поручителя</w:t>
      </w:r>
    </w:p>
    <w:p>
      <w:pPr>
        <w:spacing w:after="120" w:line="276" w:lineRule="auto"/>
        <w:ind w:firstLine="709"/>
        <w:jc w:val="both"/>
      </w:pPr>
      <w:r>
        <w:rPr>
          <w:rFonts w:ascii="Times New Roman" w:hAnsi="Times New Roman"/>
          <w:b/>
          <w:i w:val="0"/>
          <w:sz w:val="24"/>
        </w:rPr>
        <w:t>Поручительство прекратилось в связи с истечением срока.</w:t>
      </w:r>
      <w:r>
        <w:rPr>
          <w:rFonts w:ascii="Times New Roman" w:hAnsi="Times New Roman"/>
          <w:b w:val="0"/>
          <w:i w:val="0"/>
          <w:sz w:val="24"/>
        </w:rPr>
        <w:t xml:space="preserve"> Пунктом 6 статьи 367 ГК РФ установлено: «Поручительство прекращается по истечении указанного в договоре поручительства срока, на который оно дано. Если такой срок не установлен, оно прекращается при условии, что кредитор в течение года со дня наступления срока исполнения обеспеченного поручительством обязательства не предъявит иск к поручителю. Когда срок исполнения основного обязательства не указан и не может быть определен или определен моментом востребования, поручительство прекращается, если кредитор не предъявит иск к поручителю в течение двух лет со дня заключения договора поручительства.» Договором поручительства от «[дата]» [срок не установлен / установлен до «[дата]»]. Срок оплаты последней спорной поставки наступил «[дата]», а иск к поручителю предъявлен «[дата]» — [более чем через год / после истечения срока поручительства]. Это срок существования самого обязательства поручителя, а не исковая давность, и суд применяет его независимо от заявления.</w:t>
      </w:r>
    </w:p>
    <w:p>
      <w:pPr>
        <w:spacing w:after="120" w:line="276" w:lineRule="auto"/>
        <w:ind w:firstLine="709"/>
        <w:jc w:val="both"/>
      </w:pPr>
      <w:r>
        <w:rPr>
          <w:rFonts w:ascii="Times New Roman" w:hAnsi="Times New Roman"/>
          <w:b/>
          <w:i w:val="0"/>
          <w:sz w:val="24"/>
        </w:rPr>
        <w:t>Основное обязательство изменено без согласия поручителя.</w:t>
      </w:r>
      <w:r>
        <w:rPr>
          <w:rFonts w:ascii="Times New Roman" w:hAnsi="Times New Roman"/>
          <w:b w:val="0"/>
          <w:i w:val="0"/>
          <w:sz w:val="24"/>
        </w:rPr>
        <w:t xml:space="preserve"> Пунктом 2 статьи 367 ГК РФ предусмотрено: «В случае, если обеспеченное поручительством обязательство было изменено без согласия поручителя, что повлекло за собой увеличение ответственности или иные неблагоприятные последствия для поручителя, поручитель отвечает на прежних условиях.» Поставщик и покупатель [дополнительным соглашением от «[дата]» увеличили лимит поставки / продлили отсрочку платежа / повысили ставку неустойки], поручитель об этом не знал и согласия не давал. Поручитель отвечает только на прежних условиях — в пределах [сумма] рублей.</w:t>
      </w:r>
    </w:p>
    <w:p>
      <w:pPr>
        <w:spacing w:after="120" w:line="276" w:lineRule="auto"/>
        <w:ind w:firstLine="709"/>
        <w:jc w:val="both"/>
      </w:pPr>
      <w:r>
        <w:rPr>
          <w:rFonts w:ascii="Times New Roman" w:hAnsi="Times New Roman"/>
          <w:b/>
          <w:i w:val="0"/>
          <w:sz w:val="24"/>
        </w:rPr>
        <w:t>Поручительство дано в ограниченном объёме.</w:t>
      </w:r>
      <w:r>
        <w:rPr>
          <w:rFonts w:ascii="Times New Roman" w:hAnsi="Times New Roman"/>
          <w:b w:val="0"/>
          <w:i w:val="0"/>
          <w:sz w:val="24"/>
        </w:rPr>
        <w:t xml:space="preserve"> Пунктом 1 статьи 361 ГК РФ установлено: «По договору поручительства поручитель обязывается перед кредитором другого лица отвечать за исполнение последним его обязательства полностью или в части. Договор поручительства может быть заключен в обеспечение как денежных, так и неденежных обязательств, а также в обеспечение обязательства, которое возникнет в будущем.» Пунктом [__] договора поручительства ответственность ограничена [суммой [сумма] рублей / поставками по спецификации № [__] / основным долгом без неустойки]. Требования истца сверх этих пределов к поручителю не относятся.</w:t>
      </w:r>
    </w:p>
    <w:p>
      <w:pPr>
        <w:spacing w:after="120" w:line="276" w:lineRule="auto"/>
        <w:ind w:firstLine="709"/>
        <w:jc w:val="both"/>
      </w:pPr>
      <w:r>
        <w:rPr>
          <w:rFonts w:ascii="Times New Roman" w:hAnsi="Times New Roman"/>
          <w:b/>
          <w:i w:val="0"/>
          <w:sz w:val="24"/>
        </w:rPr>
        <w:t>Поручитель вправе выдвигать возражения покупателя.</w:t>
      </w:r>
      <w:r>
        <w:rPr>
          <w:rFonts w:ascii="Times New Roman" w:hAnsi="Times New Roman"/>
          <w:b w:val="0"/>
          <w:i w:val="0"/>
          <w:sz w:val="24"/>
        </w:rPr>
        <w:t xml:space="preserve"> Все возражения ответчика 1 по существу долга [недопоставка, ненадлежащее качество, неучтённые платежи, неверный расчёт неустойки] поручитель поддерживает. Объём ответственности поручителя производен от долга покупателя (пункт 2 статьи 363 ГК РФ: «Поручитель отвечает перед кредитором в том же объеме, как и должник, включая уплату процентов, возмещение судебных издержек по взысканию долга и других убытков кредитора, вызванных неисполнением или ненадлежащим исполнением обязательства должником, если иное не предусмотрено договором поручительства.»), и если долг не доказан, отсутствует и обязанность поручителя.</w:t>
      </w:r>
    </w:p>
    <w:p>
      <w:pPr>
        <w:spacing w:after="120" w:line="276" w:lineRule="auto"/>
        <w:ind w:firstLine="709"/>
        <w:jc w:val="both"/>
      </w:pPr>
      <w:r>
        <w:rPr>
          <w:rFonts w:ascii="Times New Roman" w:hAnsi="Times New Roman"/>
          <w:b/>
          <w:i w:val="0"/>
          <w:sz w:val="24"/>
        </w:rPr>
        <w:t>[Если поручитель — гражданин, не являющийся индивидуальным предпринимателем:] Спор с его участием подсуден суду общей юрисдикции.</w:t>
      </w:r>
      <w:r>
        <w:rPr>
          <w:rFonts w:ascii="Times New Roman" w:hAnsi="Times New Roman"/>
          <w:b w:val="0"/>
          <w:i w:val="0"/>
          <w:sz w:val="24"/>
        </w:rPr>
        <w:t xml:space="preserve"> Частью 2 статьи 27 АПК РФ установлено: «Арбитражные суды разрешают экономические споры и рассматривают иные дела с участием организаций, являющихся юридическими лицами, граждан, осуществляющих предпринимательскую деятельность без образования юридического лица и имеющих статус индивидуального предпринимателя, приобретенный в установленном законом порядке (далее - индивидуальные предприниматели), а в случаях, предусмотренных настоящим Кодексом и иными федеральными законами, с участием Российской Федерации, субъектов Российской Федерации, муниципальных образований, государственных органов, органов местного самоуправления, иных органов, должностных лиц, образований, не имеющих статуса юридического лица, и граждан, не имеющих статуса индивидуального предпринимателя (далее - организации и граждане).» Поручитель не является предпринимателем и не связан с покупателем корпоративными отношениями [не является его участником или руководителем]. Частью 4 статьи 39 АПК РФ предусмотрено: «Если при рассмотрении дела в арбитражном суде выяснилось, что оно подлежит рассмотрению судом общей юрисдикции, арбитражный суд передает дело в верховный суд республики, краевой, областной суд, суд города федерального значения, суд автономной области или суд автономного округа того же субъекта Российской Федерации для направления его в суд общей юрисдикции, к подсудности которого оно отнесено законом.» Ответчик 2 ходатайствует о передаче дела в части требований к нему [или всего дела, если разделение требований невозможно] в суд общей юрисдикции.</w:t>
      </w:r>
    </w:p>
    <w:p>
      <w:pPr>
        <w:spacing w:after="120" w:line="276" w:lineRule="auto"/>
        <w:ind w:firstLine="709"/>
        <w:jc w:val="both"/>
      </w:pPr>
      <w:r>
        <w:rPr>
          <w:rFonts w:ascii="Times New Roman" w:hAnsi="Times New Roman"/>
          <w:b/>
          <w:i w:val="0"/>
          <w:sz w:val="24"/>
        </w:rPr>
        <w:t>[Если суд придёт к выводу об обоснованности требования о неустойке:] Ответчик заявляет о её явной несоразмерности.</w:t>
      </w:r>
      <w:r>
        <w:rPr>
          <w:rFonts w:ascii="Times New Roman" w:hAnsi="Times New Roman"/>
          <w:b w:val="0"/>
          <w:i w:val="0"/>
          <w:sz w:val="24"/>
        </w:rPr>
        <w:t xml:space="preserve"> Пунктом 1 статьи 333 ГК РФ установлено: «Если подлежащая уплате неустойка явно несоразмерна последствиям нарушения обязательства, суд вправе уменьшить неустойку. Если обязательство нарушено лицом, осуществляющим предпринимательскую деятельность, суд вправе уменьшить неустойку при условии заявления должника о таком уменьшении.» Пунктом 2 той же статьи предусмотрено: «Уменьшение неустойки, определенной договором и подлежащей уплате лицом, осуществляющим предпринимательскую деятельность, допускается в исключительных случаях, если будет доказано, что взыскание неустойки в предусмотренном договором размере может привести к получению кредитором необоснованной выгоды.» Неустойка [сумма] рублей составляет [__] % от основного долга ([__] % годовых) и многократно превышает ключевую ставку Банка России и ставки по кредитам предпринимателям за тот же период; реальных потерь истец не доказал, поэтому полное взыскание даст ему необоснованную выгоду. Ответчик просит снизить неустойку до [сумма] рублей (расчёт исходя из двукратной ключевой ставки прилагается).</w:t>
      </w:r>
    </w:p>
    <w:p>
      <w:pPr>
        <w:spacing w:after="120" w:line="276" w:lineRule="auto"/>
        <w:jc w:val="center"/>
      </w:pPr>
      <w:r>
        <w:rPr>
          <w:rFonts w:ascii="Times New Roman" w:hAnsi="Times New Roman"/>
          <w:b/>
          <w:i w:val="0"/>
          <w:sz w:val="24"/>
        </w:rPr>
        <w:t>III. Процессуальные возражения</w:t>
      </w:r>
    </w:p>
    <w:p>
      <w:pPr>
        <w:spacing w:after="120" w:line="276" w:lineRule="auto"/>
        <w:ind w:firstLine="709"/>
        <w:jc w:val="both"/>
      </w:pPr>
      <w:r>
        <w:rPr>
          <w:rFonts w:ascii="Times New Roman" w:hAnsi="Times New Roman"/>
          <w:b/>
          <w:i w:val="0"/>
          <w:sz w:val="24"/>
        </w:rPr>
        <w:t>[Если претензия не направлялась или иск подан раньше срока:] Претензионный порядок не соблюдён.</w:t>
      </w:r>
      <w:r>
        <w:rPr>
          <w:rFonts w:ascii="Times New Roman" w:hAnsi="Times New Roman"/>
          <w:b w:val="0"/>
          <w:i w:val="0"/>
          <w:sz w:val="24"/>
        </w:rPr>
        <w:t xml:space="preserve"> Частью 5 статьи 4 АПК РФ установлено: «Гражданско-правовые споры о взыскании денежных средств по требованиям, возникшим из договоров, других сделок, вследствие неосновательного обогащения, могут быть переданы на разрешение арбитражного суда после принятия сторонами мер по досудебному урегулированию по истечении тридцати календарных дней со дня направления претензии (требования), если иные срок и (или) порядок не установлены законом или договором.» Претензия должна быть направлена каждому из ответчиков, в том числе поручителю, к которому предъявлено денежное требование. Истец [претензию не направлял / направил её не по адресу из ЕГРЮЛ или договора / обратился в суд до истечения тридцати дней (иного срока по договору) / в претензии заявил иные требования, чем в иске]. В силу пункта 2 части 1 статьи 148 АПК РФ арбитражный суд оставляет исковое заявление без рассмотрения, если «истцом не соблюден претензионный или иной досудебный порядок урегулирования спора с ответчиком, за исключением случаев, если его соблюдение не предусмотрено федеральным законом» Ответчик ходатайствует об оставлении иска без рассмотрения. [Если претензионный порядок соблюдён — удалите этот абзац.]</w:t>
      </w:r>
    </w:p>
    <w:p>
      <w:pPr>
        <w:spacing w:after="120" w:line="276" w:lineRule="auto"/>
        <w:jc w:val="center"/>
      </w:pPr>
      <w:r>
        <w:rPr>
          <w:rFonts w:ascii="Times New Roman" w:hAnsi="Times New Roman"/>
          <w:b/>
          <w:i w:val="0"/>
          <w:sz w:val="24"/>
        </w:rPr>
        <w:t>Примирение сторон</w:t>
      </w:r>
    </w:p>
    <w:p>
      <w:pPr>
        <w:spacing w:after="120" w:line="276" w:lineRule="auto"/>
        <w:ind w:firstLine="709"/>
        <w:jc w:val="both"/>
      </w:pPr>
      <w:r>
        <w:rPr>
          <w:rFonts w:ascii="Times New Roman" w:hAnsi="Times New Roman"/>
          <w:b w:val="0"/>
          <w:i w:val="0"/>
          <w:sz w:val="24"/>
        </w:rPr>
        <w:t>Пунктами 3.1 и 3.2 части 5 статьи 131 АПК РФ в отзыве указываются «3.1) сведения о предпринятых ответчиком действиях, направленных на примирение, если такие действия предпринимались» а также «3.2) мнение ответчика о возможности примирения сторон» Ответчик [направлял истцу предложение об урегулировании спора от «[дата]» / предлагал рассрочку погашения — письмо от «[дата]» № [__]]. Ответчик [готов / не готов] к заключению мирового соглашения [на условиях: указать] и [не возражает / возражает] против проведения переговоров или процедуры медиации.</w:t>
      </w:r>
    </w:p>
    <w:p>
      <w:pPr>
        <w:spacing w:after="120" w:line="276" w:lineRule="auto"/>
        <w:jc w:val="center"/>
      </w:pPr>
      <w:r>
        <w:rPr>
          <w:rFonts w:ascii="Times New Roman" w:hAnsi="Times New Roman"/>
          <w:b/>
          <w:i w:val="0"/>
          <w:sz w:val="24"/>
        </w:rPr>
        <w:t>Судебные расходы</w:t>
      </w:r>
    </w:p>
    <w:p>
      <w:pPr>
        <w:spacing w:after="120" w:line="276" w:lineRule="auto"/>
        <w:ind w:firstLine="709"/>
        <w:jc w:val="both"/>
      </w:pPr>
      <w:r>
        <w:rPr>
          <w:rFonts w:ascii="Times New Roman" w:hAnsi="Times New Roman"/>
          <w:b w:val="0"/>
          <w:i w:val="0"/>
          <w:sz w:val="24"/>
        </w:rPr>
        <w:t>Частью 1 статьи 110 АПК РФ установлено: «Судебные расходы, понесенные лицами, участвующими в деле, в пользу которых принят судебный акт, взыскиваются арбитражным судом со стороны.» Абзацем вторым той же части предусмотрено: «В случае, если иск удовлетворен частично, судебные расходы относятся на лиц, участвующих в деле, пропорционально размеру удовлетворенных исковых требований.» Поскольку требования истца не подлежат удовлетворению, расходы истца на него и относятся.</w:t>
      </w:r>
    </w:p>
    <w:p>
      <w:pPr>
        <w:spacing w:after="120" w:line="276" w:lineRule="auto"/>
        <w:ind w:firstLine="709"/>
        <w:jc w:val="both"/>
      </w:pPr>
      <w:r>
        <w:rPr>
          <w:rFonts w:ascii="Times New Roman" w:hAnsi="Times New Roman"/>
          <w:b w:val="0"/>
          <w:i w:val="0"/>
          <w:sz w:val="24"/>
        </w:rPr>
        <w:t>Согласно части 2 статьи 110 АПК РФ «Расходы на оплату услуг представителя, понесенные лицом, в пользу которого принят судебный акт, взыскиваются арбитражным судом с другого лица, участвующего в деле, в разумных пределах.» Заявленные истцом расходы на представителя в сумме [сумма] рублей [чрезмерны: дело типовое, объём документов небольшой / не подтверждены актом и платёжными документами]. Расходы ответчика на представителя — [сумма] рублей (договор от «[дата]» № [__]) — подлежат взысканию с истца.</w:t>
      </w:r>
    </w:p>
    <w:p>
      <w:pPr>
        <w:spacing w:after="120" w:line="276" w:lineRule="auto"/>
        <w:ind w:firstLine="709"/>
        <w:jc w:val="both"/>
      </w:pPr>
      <w:r>
        <w:rPr>
          <w:rFonts w:ascii="Times New Roman" w:hAnsi="Times New Roman"/>
          <w:b w:val="0"/>
          <w:i w:val="0"/>
          <w:sz w:val="24"/>
        </w:rPr>
        <w:t>На основании изложенного, руководствуясь статьями 333, 361, 363, 367 ГК РФ, статьями 27, 39, 65, 70, 71, 131, 148 АПК РФ,</w:t>
      </w:r>
    </w:p>
    <w:p>
      <w:pPr>
        <w:spacing w:after="120" w:line="276" w:lineRule="auto"/>
        <w:jc w:val="center"/>
      </w:pPr>
      <w:r>
        <w:rPr>
          <w:rFonts w:ascii="Times New Roman" w:hAnsi="Times New Roman"/>
          <w:b/>
          <w:i w:val="0"/>
          <w:sz w:val="24"/>
        </w:rPr>
        <w:t>ПРОШУ:</w:t>
      </w:r>
    </w:p>
    <w:p>
      <w:pPr>
        <w:spacing w:after="120" w:line="276" w:lineRule="auto"/>
        <w:ind w:firstLine="709"/>
        <w:jc w:val="both"/>
      </w:pPr>
      <w:r>
        <w:rPr>
          <w:rFonts w:ascii="Times New Roman" w:hAnsi="Times New Roman"/>
          <w:b w:val="0"/>
          <w:i w:val="0"/>
          <w:sz w:val="24"/>
        </w:rPr>
        <w:t>1. Отказать [наименование истца] в удовлетворении исковых требований к поручителю к [наименование ответчика] в полном объёме.</w:t>
      </w:r>
    </w:p>
    <w:p>
      <w:pPr>
        <w:spacing w:after="120" w:line="276" w:lineRule="auto"/>
        <w:ind w:firstLine="709"/>
        <w:jc w:val="both"/>
      </w:pPr>
      <w:r>
        <w:rPr>
          <w:rFonts w:ascii="Times New Roman" w:hAnsi="Times New Roman"/>
          <w:b w:val="0"/>
          <w:i w:val="0"/>
          <w:sz w:val="24"/>
        </w:rPr>
        <w:t>2. [Если поручитель — гражданин:] передать дело в части требований к [Ф. И. О. поручителя] на рассмотрение [наименование суда общей юрисдикции].</w:t>
      </w:r>
    </w:p>
    <w:p>
      <w:pPr>
        <w:spacing w:after="120" w:line="276" w:lineRule="auto"/>
        <w:ind w:firstLine="709"/>
        <w:jc w:val="both"/>
      </w:pPr>
      <w:r>
        <w:rPr>
          <w:rFonts w:ascii="Times New Roman" w:hAnsi="Times New Roman"/>
          <w:b w:val="0"/>
          <w:i w:val="0"/>
          <w:sz w:val="24"/>
        </w:rPr>
        <w:t>3. [В случае удовлетворения иска в какой-либо части] ограничить ответственность поручителя суммой [сумма] рублей и уменьшить неустойку на основании статьи 333 ГК РФ.</w:t>
      </w:r>
    </w:p>
    <w:p>
      <w:pPr>
        <w:spacing w:after="120" w:line="276" w:lineRule="auto"/>
        <w:ind w:firstLine="709"/>
        <w:jc w:val="both"/>
      </w:pPr>
      <w:r>
        <w:rPr>
          <w:rFonts w:ascii="Times New Roman" w:hAnsi="Times New Roman"/>
          <w:b w:val="0"/>
          <w:i w:val="0"/>
          <w:sz w:val="24"/>
        </w:rPr>
        <w:t>4. Взыскать с [наименование истца] в пользу [наименование ответчика] расходы на оплату услуг представителя в размере [сумма] рублей.</w:t>
      </w:r>
    </w:p>
    <w:p>
      <w:pPr>
        <w:spacing w:after="120" w:line="276" w:lineRule="auto"/>
        <w:jc w:val="left"/>
      </w:pPr>
      <w:r>
        <w:rPr>
          <w:rFonts w:ascii="Times New Roman" w:hAnsi="Times New Roman"/>
          <w:b/>
          <w:i w:val="0"/>
          <w:sz w:val="24"/>
        </w:rPr>
        <w:t>Приложение:</w:t>
      </w:r>
    </w:p>
    <w:p>
      <w:pPr>
        <w:spacing w:after="40" w:line="276" w:lineRule="auto"/>
        <w:jc w:val="left"/>
      </w:pPr>
      <w:r>
        <w:rPr>
          <w:rFonts w:ascii="Times New Roman" w:hAnsi="Times New Roman"/>
          <w:b w:val="0"/>
          <w:i w:val="0"/>
          <w:sz w:val="24"/>
        </w:rPr>
        <w:t>1. Документы, подтверждающие направление копии отзыва истцу и другим лицам, участвующим в деле (почтовая квитанция и уведомление о вручении / подтверждение отправки через систему «Мой арбитр» или по электронной почте).</w:t>
      </w:r>
    </w:p>
    <w:p>
      <w:pPr>
        <w:spacing w:after="40" w:line="276" w:lineRule="auto"/>
        <w:jc w:val="left"/>
      </w:pPr>
      <w:r>
        <w:rPr>
          <w:rFonts w:ascii="Times New Roman" w:hAnsi="Times New Roman"/>
          <w:b w:val="0"/>
          <w:i w:val="0"/>
          <w:sz w:val="24"/>
        </w:rPr>
        <w:t>2. Договор поручительства от «[дата]» № [__].</w:t>
      </w:r>
    </w:p>
    <w:p>
      <w:pPr>
        <w:spacing w:after="40" w:line="276" w:lineRule="auto"/>
        <w:jc w:val="left"/>
      </w:pPr>
      <w:r>
        <w:rPr>
          <w:rFonts w:ascii="Times New Roman" w:hAnsi="Times New Roman"/>
          <w:b w:val="0"/>
          <w:i w:val="0"/>
          <w:sz w:val="24"/>
        </w:rPr>
        <w:t>3. Дополнительные соглашения к договору поставки, заключённые без согласия поручителя [если есть].</w:t>
      </w:r>
    </w:p>
    <w:p>
      <w:pPr>
        <w:spacing w:after="40" w:line="276" w:lineRule="auto"/>
        <w:jc w:val="left"/>
      </w:pPr>
      <w:r>
        <w:rPr>
          <w:rFonts w:ascii="Times New Roman" w:hAnsi="Times New Roman"/>
          <w:b w:val="0"/>
          <w:i w:val="0"/>
          <w:sz w:val="24"/>
        </w:rPr>
        <w:t>4. Документы о том, что поручитель не является предпринимателем и участником (руководителем) покупателя [если заявляется ходатайство о передаче дела].</w:t>
      </w:r>
    </w:p>
    <w:p>
      <w:pPr>
        <w:spacing w:after="40" w:line="276" w:lineRule="auto"/>
        <w:jc w:val="left"/>
      </w:pPr>
      <w:r>
        <w:rPr>
          <w:rFonts w:ascii="Times New Roman" w:hAnsi="Times New Roman"/>
          <w:b w:val="0"/>
          <w:i w:val="0"/>
          <w:sz w:val="24"/>
        </w:rPr>
        <w:t>5. Документы о расходах ответчика на представителя (договор, акт оказанных услуг, платёжное поручение) [если заявлены].</w:t>
      </w:r>
    </w:p>
    <w:p>
      <w:pPr>
        <w:spacing w:after="40" w:line="276" w:lineRule="auto"/>
        <w:jc w:val="left"/>
      </w:pPr>
      <w:r>
        <w:rPr>
          <w:rFonts w:ascii="Times New Roman" w:hAnsi="Times New Roman"/>
          <w:b w:val="0"/>
          <w:i w:val="0"/>
          <w:sz w:val="24"/>
        </w:rPr>
        <w:t>6. Документ о полномочиях лица, подписавшего отзыв: решение (протокол) о назначении руководителя либо доверенность представителя и копия диплома о высшем юридическом образовании или документа о статусе адвоката.</w:t>
      </w:r>
    </w:p>
    <w:p>
      <w:pPr>
        <w:spacing w:after="0" w:line="276" w:lineRule="auto" w:before="360"/>
        <w:jc w:val="left"/>
      </w:pPr>
      <w:r>
        <w:rPr>
          <w:rFonts w:ascii="Times New Roman" w:hAnsi="Times New Roman"/>
          <w:b w:val="0"/>
          <w:i w:val="0"/>
          <w:sz w:val="24"/>
        </w:rPr>
        <w:t>«___» __________ 20__ г.</w:t>
        <w:tab/>
        <w:tab/>
        <w:tab/>
        <w:tab/>
        <w:t>__________________ / [Ф. И. О. руководителя или представителя ответчика]</w:t>
      </w:r>
    </w:p>
    <w:p>
      <w:pPr>
        <w:spacing w:after="40" w:line="276" w:lineRule="auto" w:before="360"/>
        <w:jc w:val="left"/>
      </w:pPr>
      <w:r>
        <w:rPr>
          <w:rFonts w:ascii="Times New Roman" w:hAnsi="Times New Roman"/>
          <w:b/>
          <w:i/>
          <w:sz w:val="24"/>
        </w:rPr>
        <w:t>Пояснения к шаблону (удалите перед подачей):</w:t>
      </w:r>
    </w:p>
    <w:p>
      <w:pPr>
        <w:spacing w:after="40" w:line="276" w:lineRule="auto"/>
        <w:jc w:val="both"/>
      </w:pPr>
      <w:r>
        <w:rPr>
          <w:rFonts w:ascii="Times New Roman" w:hAnsi="Times New Roman"/>
          <w:b w:val="0"/>
          <w:i/>
          <w:sz w:val="24"/>
        </w:rPr>
        <w:t>— Срок поручительства (п. 6 ст. 367 ГК РФ) — самое сильное возражение: пропуск этого срока прекращает поручительство полностью, и суд проверяет его сам.</w:t>
      </w:r>
    </w:p>
    <w:p>
      <w:pPr>
        <w:spacing w:after="40" w:line="276" w:lineRule="auto"/>
        <w:jc w:val="both"/>
      </w:pPr>
      <w:r>
        <w:rPr>
          <w:rFonts w:ascii="Times New Roman" w:hAnsi="Times New Roman"/>
          <w:b w:val="0"/>
          <w:i/>
          <w:sz w:val="24"/>
        </w:rPr>
        <w:t>— Если поручитель — директор или участник покупателя, суды признают спор экономическим и оставляют его в арбитражном суде: ходатайство о передаче дела в этом случае не заявляйте.</w:t>
      </w:r>
    </w:p>
    <w:p>
      <w:pPr>
        <w:spacing w:after="40" w:line="276" w:lineRule="auto"/>
        <w:jc w:val="both"/>
      </w:pPr>
      <w:r>
        <w:rPr>
          <w:rFonts w:ascii="Times New Roman" w:hAnsi="Times New Roman"/>
          <w:b w:val="0"/>
          <w:i/>
          <w:sz w:val="24"/>
        </w:rPr>
        <w:t>— Отзыв направляют в суд и всем лицам, участвующим в деле, в срок из определения суда (ч. 1, 3 ст. 131 АПК РФ), удобнее всего — через «Мой арбитр». В упрощённом производстве опоздавший отзыв суд возвращает (ч. 4 ст. 228 АПК РФ).</w:t>
      </w:r>
    </w:p>
    <w:p>
      <w:pPr>
        <w:spacing w:after="40" w:line="276" w:lineRule="auto"/>
        <w:jc w:val="both"/>
      </w:pPr>
      <w:r>
        <w:rPr>
          <w:rFonts w:ascii="Times New Roman" w:hAnsi="Times New Roman"/>
          <w:b w:val="0"/>
          <w:i/>
          <w:sz w:val="24"/>
        </w:rPr>
        <w:t>— Не оспоренные прямо обстоятельства считаются признанными (ч. 3.1 ст. 70 АПК РФ), поэтому возражайте по каждому доводу истца.</w:t>
      </w:r>
    </w:p>
    <w:p>
      <w:pPr>
        <w:spacing w:after="40" w:line="276" w:lineRule="auto"/>
        <w:jc w:val="both"/>
      </w:pPr>
      <w:r>
        <w:rPr>
          <w:rFonts w:ascii="Times New Roman" w:hAnsi="Times New Roman"/>
          <w:b w:val="0"/>
          <w:i/>
          <w:sz w:val="24"/>
        </w:rPr>
        <w:t>— О пропуске исковой давности заявляйте в первой инстанции до решения (п. 2 ст. 199 ГК РФ).</w:t>
      </w:r>
    </w:p>
    <w:p>
      <w:pPr>
        <w:spacing w:after="40" w:line="276" w:lineRule="auto"/>
        <w:jc w:val="both"/>
      </w:pPr>
      <w:r>
        <w:rPr>
          <w:rFonts w:ascii="Times New Roman" w:hAnsi="Times New Roman"/>
          <w:b w:val="0"/>
          <w:i/>
          <w:sz w:val="24"/>
        </w:rPr>
        <w:t>— Шаблон содержит максимальный набор доводов: оставьте только те, что подтверждаются вашими документами.</w:t>
      </w:r>
    </w:p>
    <w:p>
      <w:pPr>
        <w:spacing w:after="40" w:line="276" w:lineRule="auto"/>
        <w:jc w:val="both"/>
      </w:pPr>
      <w:r>
        <w:rPr>
          <w:rFonts w:ascii="Times New Roman" w:hAnsi="Times New Roman"/>
          <w:b w:val="0"/>
          <w:i/>
          <w:sz w:val="24"/>
        </w:rPr>
        <w:t>— Цитаты закона приведены дословно в действующей редакции (сверено с КонсультантПлюс 14.10.2026). Перед подачей проверьте, не изменились ли нормы.</w:t>
      </w:r>
    </w:p>
    <w:p>
      <w:pPr>
        <w:spacing w:after="40" w:line="276" w:lineRule="auto"/>
        <w:jc w:val="both"/>
      </w:pPr>
      <w:r>
        <w:rPr>
          <w:rFonts w:ascii="Times New Roman" w:hAnsi="Times New Roman"/>
          <w:b w:val="0"/>
          <w:i/>
          <w:sz w:val="24"/>
        </w:rPr>
        <w:t>— Квадратные скобки — места для ваших данных; пояснения в скобках и неподходящие варианты удалите перед подачей.</w:t>
      </w:r>
    </w:p>
    <w:sectPr w:rsidR="00FC693F" w:rsidRPr="0006063C" w:rsidSect="00034616">
      <w:pgSz w:w="12240" w:h="15840"/>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