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кредитор</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поручитель</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солидарном взыскании задолженности с заёмщика и поручителя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с ответчика как поручителя солидарно с [Ф. И. О. / наименование заёмщика] задолженности по договору [займа / кредита] от «[дата]» в размере [сумма] рублей.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Поручительство прекратилось в связи с истечением срока.</w:t>
      </w:r>
      <w:r>
        <w:rPr>
          <w:rFonts w:ascii="Times New Roman" w:hAnsi="Times New Roman"/>
          <w:b w:val="0"/>
          <w:i w:val="0"/>
          <w:sz w:val="24"/>
        </w:rPr>
        <w:t xml:space="preserve"> Пунктом 6 статьи 367 Гражданского кодекса Российской Федерации (далее — ГК РФ) установлено: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 «Предъявление кредитором к должнику требования о досрочном исполнении обязательства не сокращает срок действия поручительства, определяемый исходя из первоначальных условий основного обязательства.» [Договор поручительства срока не содержит / условие «до полного исполнения обязательств» сроком не является.] Срок возврата долга (последнего платежа) наступил «[дата]», а иск к поручителю предъявлен «[дата]» — по истечении года. Поручительство прекратилось [полностью / в части платежей, срок которых наступил более чем за год до иска].</w:t>
      </w:r>
    </w:p>
    <w:p>
      <w:pPr>
        <w:spacing w:after="120" w:line="276" w:lineRule="auto"/>
        <w:ind w:firstLine="709"/>
        <w:jc w:val="both"/>
      </w:pPr>
      <w:r>
        <w:rPr>
          <w:rFonts w:ascii="Times New Roman" w:hAnsi="Times New Roman"/>
          <w:b/>
          <w:i w:val="0"/>
          <w:sz w:val="24"/>
        </w:rPr>
        <w:t>Обязательство изменено без согласия поручителя.</w:t>
      </w:r>
      <w:r>
        <w:rPr>
          <w:rFonts w:ascii="Times New Roman" w:hAnsi="Times New Roman"/>
          <w:b w:val="0"/>
          <w:i w:val="0"/>
          <w:sz w:val="24"/>
        </w:rPr>
        <w:t xml:space="preserve"> Пунктом 2 статьи 367 ГК РФ: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 Дополнительным соглашением от «[дата]» кредитор и заёмщик [увеличили процентную ставку / продлили срок / увеличили сумму], согласия ответчика не получено. Поручитель отвечает лишь на прежних условиях.</w:t>
      </w:r>
    </w:p>
    <w:p>
      <w:pPr>
        <w:spacing w:after="120" w:line="276" w:lineRule="auto"/>
        <w:ind w:firstLine="709"/>
        <w:jc w:val="both"/>
      </w:pPr>
      <w:r>
        <w:rPr>
          <w:rFonts w:ascii="Times New Roman" w:hAnsi="Times New Roman"/>
          <w:b/>
          <w:i w:val="0"/>
          <w:sz w:val="24"/>
        </w:rPr>
        <w:t>[Если долг переведён:] Поручительство прекратилось с переводом долга.</w:t>
      </w:r>
      <w:r>
        <w:rPr>
          <w:rFonts w:ascii="Times New Roman" w:hAnsi="Times New Roman"/>
          <w:b w:val="0"/>
          <w:i w:val="0"/>
          <w:sz w:val="24"/>
        </w:rPr>
        <w:t xml:space="preserve"> Пунктом 3 статьи 367 ГК РФ: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 «Согласие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pPr>
        <w:spacing w:after="120" w:line="276" w:lineRule="auto"/>
        <w:ind w:firstLine="709"/>
        <w:jc w:val="both"/>
      </w:pPr>
      <w:r>
        <w:rPr>
          <w:rFonts w:ascii="Times New Roman" w:hAnsi="Times New Roman"/>
          <w:b/>
          <w:i w:val="0"/>
          <w:sz w:val="24"/>
        </w:rPr>
        <w:t>Поручитель вправе выдвигать возражения должника.</w:t>
      </w:r>
      <w:r>
        <w:rPr>
          <w:rFonts w:ascii="Times New Roman" w:hAnsi="Times New Roman"/>
          <w:b w:val="0"/>
          <w:i w:val="0"/>
          <w:sz w:val="24"/>
        </w:rPr>
        <w:t xml:space="preserve"> Пунктом 1 статьи 364 ГК РФ: «Поручитель вправе выдвигать против требования кредитора возражения,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 [Заёмщик оспаривает размер долга / заявляет о безденежности / о пропуске срока давности]; ответчик присоединяется к этим возражениям. Пунктом 2 той же статьи: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 [Кредитор мог погасить требование зачётом встречного требования заёмщика.]</w:t>
      </w:r>
    </w:p>
    <w:p>
      <w:pPr>
        <w:spacing w:after="120" w:line="276" w:lineRule="auto"/>
        <w:ind w:firstLine="709"/>
        <w:jc w:val="both"/>
      </w:pPr>
      <w:r>
        <w:rPr>
          <w:rFonts w:ascii="Times New Roman" w:hAnsi="Times New Roman"/>
          <w:b/>
          <w:i w:val="0"/>
          <w:sz w:val="24"/>
        </w:rPr>
        <w:t>Объём ответственности поручителя.</w:t>
      </w:r>
      <w:r>
        <w:rPr>
          <w:rFonts w:ascii="Times New Roman" w:hAnsi="Times New Roman"/>
          <w:b w:val="0"/>
          <w:i w:val="0"/>
          <w:sz w:val="24"/>
        </w:rPr>
        <w:t xml:space="preserve"> Пунктом 2 статьи 363 ГК РФ: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 [Поручительство дано на сумму [сумма] рублей — договор, пункт __; требования сверх этого лимита к ответчику предъявлены необоснованно.]</w:t>
      </w:r>
    </w:p>
    <w:p>
      <w:pPr>
        <w:spacing w:after="120" w:line="276" w:lineRule="auto"/>
        <w:ind w:firstLine="709"/>
        <w:jc w:val="both"/>
      </w:pPr>
      <w:r>
        <w:rPr>
          <w:rFonts w:ascii="Times New Roman" w:hAnsi="Times New Roman"/>
          <w:b/>
          <w:i w:val="0"/>
          <w:sz w:val="24"/>
        </w:rPr>
        <w:t>Неустойка подлежит уменьшению.</w:t>
      </w:r>
      <w:r>
        <w:rPr>
          <w:rFonts w:ascii="Times New Roman" w:hAnsi="Times New Roman"/>
          <w:b w:val="0"/>
          <w:i w:val="0"/>
          <w:sz w:val="24"/>
        </w:rPr>
        <w:t xml:space="preserve"> Пунктом 1 статьи 333 ГК РФ предусмотрено: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Заявленная неустойка [сумма] рублей составляет [__] % от суммы основного обязательства, что многократно превышает возможные убытки истца, ключевую ставку Банка России и средние ставки по кредитам за тот же период. Реальных негативных последствий нарушения истец не доказал. Ответчик просит снизить неустойку [и штраф] до [сумма] рублей.</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361, 363, 364, 367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к поручителю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Взыскать с поручителя задолженность только по платежам, срок которых наступил в течение года до предъявления иска, в пределах лимита поручительства, на условиях до их изменения без согласия поручителя; уменьшить неустойку.</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поручительства.</w:t>
      </w:r>
    </w:p>
    <w:p>
      <w:pPr>
        <w:spacing w:after="40" w:line="276" w:lineRule="auto"/>
        <w:jc w:val="left"/>
      </w:pPr>
      <w:r>
        <w:rPr>
          <w:rFonts w:ascii="Times New Roman" w:hAnsi="Times New Roman"/>
          <w:b w:val="0"/>
          <w:i w:val="0"/>
          <w:sz w:val="24"/>
        </w:rPr>
        <w:t>3. Дополнительные соглашения к основному договору, заключённые без участия поручителя.</w:t>
      </w:r>
    </w:p>
    <w:p>
      <w:pPr>
        <w:spacing w:after="40" w:line="276" w:lineRule="auto"/>
        <w:jc w:val="left"/>
      </w:pPr>
      <w:r>
        <w:rPr>
          <w:rFonts w:ascii="Times New Roman" w:hAnsi="Times New Roman"/>
          <w:b w:val="0"/>
          <w:i w:val="0"/>
          <w:sz w:val="24"/>
        </w:rPr>
        <w:t>4. Расчёт задолженности по платежам в пределах годичного срока.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Самый сильный довод поручителя — п. 6 ст. 367 ГК РФ: если срок поручительства в договоре не указан, кредитор должен предъявить иск к поручителю в течение года со дня наступления срока исполнения. По периодическим платежам год считается по каждому платежу.</w:t>
      </w:r>
    </w:p>
    <w:p>
      <w:pPr>
        <w:spacing w:after="40" w:line="276" w:lineRule="auto"/>
        <w:jc w:val="both"/>
      </w:pPr>
      <w:r>
        <w:rPr>
          <w:rFonts w:ascii="Times New Roman" w:hAnsi="Times New Roman"/>
          <w:b w:val="0"/>
          <w:i/>
          <w:sz w:val="24"/>
        </w:rPr>
        <w:t>— Изменение условий долга без согласия поручителя (ставка, срок, сумма) не увеличивает его ответственность.</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