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гарантирующий 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за электрическую энергию и законной неустойки (пеней)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договору энергоснабжения от «[дата]» № [__] за период с «[дата]» по «[дата]» в размере [сумма] рублей и пеней по статье 37 Федерального закона «Об электроэнергетике»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Объём ресурса определён истцом не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Узел учёта абонента [исправен, поверен (свидетельство до «[дата]»), допущен в эксплуатацию актом от «[дата]»], показания передавались ежемесячно [журнал, электронные письма]. Истец же применил [расчётный способ / норматив / максимальную мощность], что допустимо лишь при отсутствии или неисправности прибора учёта. Контррасчёт по показаниям прибора прилагается.</w:t>
      </w:r>
    </w:p>
    <w:p>
      <w:pPr>
        <w:spacing w:after="120" w:line="276" w:lineRule="auto"/>
        <w:ind w:firstLine="709"/>
        <w:jc w:val="both"/>
      </w:pPr>
      <w:r>
        <w:rPr>
          <w:rFonts w:ascii="Times New Roman" w:hAnsi="Times New Roman"/>
          <w:b/>
          <w:i w:val="0"/>
          <w:sz w:val="24"/>
        </w:rPr>
        <w:t>Платежи ответчика учтены не полностью.</w:t>
      </w:r>
      <w:r>
        <w:rPr>
          <w:rFonts w:ascii="Times New Roman" w:hAnsi="Times New Roman"/>
          <w:b w:val="0"/>
          <w:i w:val="0"/>
          <w:sz w:val="24"/>
        </w:rPr>
        <w:t xml:space="preserve"> Ответчик оплатил [сумма] рублей платёжными поручениями № [__] с указанием расчётного периода.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платежи в счёт более ранних периодов [или пеней], увеличив долг за спорный период.</w:t>
      </w:r>
    </w:p>
    <w:p>
      <w:pPr>
        <w:spacing w:after="120" w:line="276" w:lineRule="auto"/>
        <w:ind w:firstLine="709"/>
        <w:jc w:val="both"/>
      </w:pPr>
      <w:r>
        <w:rPr>
          <w:rFonts w:ascii="Times New Roman" w:hAnsi="Times New Roman"/>
          <w:b/>
          <w:i w:val="0"/>
          <w:sz w:val="24"/>
        </w:rPr>
        <w:t>Пени рассчитаны неверно.</w:t>
      </w:r>
      <w:r>
        <w:rPr>
          <w:rFonts w:ascii="Times New Roman" w:hAnsi="Times New Roman"/>
          <w:b w:val="0"/>
          <w:i w:val="0"/>
          <w:sz w:val="24"/>
        </w:rPr>
        <w:t xml:space="preserve"> Пунктом 2 статьи 37 Федерального закона от 26.03.2003 № 35-ФЗ «Об электроэнергетике» установлено: «Потребитель или покупатель электрической энергии, несвоевременно и (или) не полностью оплатившие электрическую энергию гарантирующему поставщику или производителю электрической энергии (мощности) на розничном рынке, обязаны уплатить ему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Истец [применил ставку, действовавшую не на день фактической оплаты / начислил пени на сумму с учётом неверного объёма / начал начисление ранее срока оплаты по договору — до 18-го числа месяца, следующего за расчётным]. [Если потребитель — управляющая организация: для неё установлен иной размер пени — «Управляющие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spacing w:after="120" w:line="276" w:lineRule="auto"/>
        <w:ind w:firstLine="709"/>
        <w:jc w:val="both"/>
      </w:pPr>
      <w:r>
        <w:rPr>
          <w:rFonts w:ascii="Times New Roman" w:hAnsi="Times New Roman"/>
          <w:b/>
          <w:i w:val="0"/>
          <w:sz w:val="24"/>
        </w:rPr>
        <w:t>Законная неустойка может быть снижена при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Правило статьи 333 ГК РФ распространяется и на законную неустойку. Просрочка вызвана [задержкой бюджетного финансирования / сезонным характером деятельности], долг погашен до вынесения решения; размер пени [__] % от долга явно несоразмерен последствиям.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расчётному периоду — со дня, следующего за днём окончания срока оплаты за этот период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333, 544 ГК РФ, статьёй 37 Федерального закона «Об электроэнергетике»,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и пеней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пени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допуска прибора учёта, свидетельство о поверке, журнал показаний и документы о их передаче.</w:t>
      </w:r>
    </w:p>
    <w:p>
      <w:pPr>
        <w:spacing w:after="40" w:line="276" w:lineRule="auto"/>
        <w:jc w:val="left"/>
      </w:pPr>
      <w:r>
        <w:rPr>
          <w:rFonts w:ascii="Times New Roman" w:hAnsi="Times New Roman"/>
          <w:b w:val="0"/>
          <w:i w:val="0"/>
          <w:sz w:val="24"/>
        </w:rPr>
        <w:t>3. Платёжные поручения с указанием расчётного периода.</w:t>
      </w:r>
    </w:p>
    <w:p>
      <w:pPr>
        <w:spacing w:after="40" w:line="276" w:lineRule="auto"/>
        <w:jc w:val="left"/>
      </w:pPr>
      <w:r>
        <w:rPr>
          <w:rFonts w:ascii="Times New Roman" w:hAnsi="Times New Roman"/>
          <w:b w:val="0"/>
          <w:i w:val="0"/>
          <w:sz w:val="24"/>
        </w:rPr>
        <w:t>4. Контррасчёт задолженности и пеней.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Пени по законам об энергетике начисляются по ставке Банка России на день фактической оплаты: если долг не погашен, суд применяет ставку на дату решения. Проверьте это в расчёте истца.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