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неустойки за нарушение сроков выполнения работ</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неустойки за нарушение [конечного / промежуточных] сроков выполнения работ по договору подряда от «[дата]» № [__] за период с «[дата]» по «[дата]»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Сроки выполнения работ были изменены [или зависели от событий, наступивших позже].</w:t>
      </w:r>
      <w:r>
        <w:rPr>
          <w:rFonts w:ascii="Times New Roman" w:hAnsi="Times New Roman"/>
          <w:b w:val="0"/>
          <w:i w:val="0"/>
          <w:sz w:val="24"/>
        </w:rPr>
        <w:t xml:space="preserve"> Пунктом 2 статьи 708 ГК РФ установлено: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 [Дополнительным соглашением № [__] от «[дата]» срок продлён до «[дата]» / по пункту [__] Договора начальный срок исчисляется с даты передачи площадки и аванса, которые состоялись «[дата]»], поэтому просрочка, если и была, составляет [__] дней, а не [__].</w:t>
      </w:r>
    </w:p>
    <w:p>
      <w:pPr>
        <w:spacing w:after="120" w:line="276" w:lineRule="auto"/>
        <w:ind w:firstLine="709"/>
        <w:jc w:val="both"/>
      </w:pPr>
      <w:r>
        <w:rPr>
          <w:rFonts w:ascii="Times New Roman" w:hAnsi="Times New Roman"/>
          <w:b/>
          <w:i w:val="0"/>
          <w:sz w:val="24"/>
        </w:rPr>
        <w:t>Сроки сорваны из-за неисполнения заказчиком встречных обязанностей.</w:t>
      </w:r>
      <w:r>
        <w:rPr>
          <w:rFonts w:ascii="Times New Roman" w:hAnsi="Times New Roman"/>
          <w:b w:val="0"/>
          <w:i w:val="0"/>
          <w:sz w:val="24"/>
        </w:rPr>
        <w:t xml:space="preserve"> Пунктом 1 статьи 718 ГК РФ установлено: «Заказчик обязан в случаях, в объеме и в порядке, предусмотренных договором подряда, оказывать подрядчику содействие в выполнении работы.» «При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 Пунктом 1 статьи 719 ГК РФ предусмотрено: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Заказчик [передал строительную площадку / проектную документацию / давальческие материалы только «[дата]» / вносил изменения в документацию / задержал авансирование на [__] дней], о чём подрядчик письменно уведомлял его «[дата]» и приостанавливал работы. Пунктом 3 статьи 405 ГК РФ установлено: «Должник не считается просрочившим, пока обязательство не может быть исполнено вследствие просрочки кредитора.»</w:t>
      </w:r>
    </w:p>
    <w:p>
      <w:pPr>
        <w:spacing w:after="120" w:line="276" w:lineRule="auto"/>
        <w:ind w:firstLine="709"/>
        <w:jc w:val="both"/>
      </w:pPr>
      <w:r>
        <w:rPr>
          <w:rFonts w:ascii="Times New Roman" w:hAnsi="Times New Roman"/>
          <w:b/>
          <w:i w:val="0"/>
          <w:sz w:val="24"/>
        </w:rPr>
        <w:t>Подрядчик приостанавливал работы по обстоятельствам, о которых предупредил заказчика.</w:t>
      </w:r>
      <w:r>
        <w:rPr>
          <w:rFonts w:ascii="Times New Roman" w:hAnsi="Times New Roman"/>
          <w:b w:val="0"/>
          <w:i w:val="0"/>
          <w:sz w:val="24"/>
        </w:rPr>
        <w:t xml:space="preserve"> Пунктом 1 статьи 716 ГК РФ подрядчик обязан немедленно предупредить заказчика и приостановить работу при обнаружении: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Подрядчик направил уведомления от «[дата]» № [__] и приостановил работы с «[дата]» по «[дата]»; ответ (указания) заказчика получен лишь «[дата]». Этот период исключается из периода просрочки.</w:t>
      </w:r>
    </w:p>
    <w:p>
      <w:pPr>
        <w:spacing w:after="120" w:line="276" w:lineRule="auto"/>
        <w:ind w:firstLine="709"/>
        <w:jc w:val="both"/>
      </w:pPr>
      <w:r>
        <w:rPr>
          <w:rFonts w:ascii="Times New Roman" w:hAnsi="Times New Roman"/>
          <w:b/>
          <w:i w:val="0"/>
          <w:sz w:val="24"/>
        </w:rPr>
        <w:t>Неустойка за промежуточные сроки не предусмотрена или начислена дважды.</w:t>
      </w:r>
      <w:r>
        <w:rPr>
          <w:rFonts w:ascii="Times New Roman" w:hAnsi="Times New Roman"/>
          <w:b w:val="0"/>
          <w:i w:val="0"/>
          <w:sz w:val="24"/>
        </w:rPr>
        <w:t xml:space="preserve"> Абзацем вторым пункта 1 статьи 708 ГК РФ предусмотрено: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[Пунктом [__] Договора неустойка установлена только за нарушение конечного срока / истец одновременно начисляет неустойку за этапы и за конечный срок по тем же работам.] Двойная ответственность за одно нарушение недопустима.</w:t>
      </w:r>
    </w:p>
    <w:p>
      <w:pPr>
        <w:spacing w:after="120" w:line="276" w:lineRule="auto"/>
        <w:ind w:firstLine="709"/>
        <w:jc w:val="both"/>
      </w:pPr>
      <w:r>
        <w:rPr>
          <w:rFonts w:ascii="Times New Roman" w:hAnsi="Times New Roman"/>
          <w:b/>
          <w:i w:val="0"/>
          <w:sz w:val="24"/>
        </w:rPr>
        <w:t>Неустойка рассчитана от неверной базы.</w:t>
      </w:r>
      <w:r>
        <w:rPr>
          <w:rFonts w:ascii="Times New Roman" w:hAnsi="Times New Roman"/>
          <w:b w:val="0"/>
          <w:i w:val="0"/>
          <w:sz w:val="24"/>
        </w:rPr>
        <w:t xml:space="preserve"> Истец начислил неустойку на цену всего Договора, хотя к началу просрочки работы на [сумма] рублей были выполнены и приняты; [пункт [__] Договора предусматривает начисление на стоимость невыполненных работ этапа / ограничение [__] %]. Контррасчёт прилагается.</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цены работ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этапу — со дня, следующего за последним днём срока его выполнения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333, 405, 406, 708, 716, 718, 719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неустойку на основании статьи 333 ГК РФ до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Дополнительные соглашения о переносе сроков, графики производства работ.</w:t>
      </w:r>
    </w:p>
    <w:p>
      <w:pPr>
        <w:spacing w:after="40" w:line="276" w:lineRule="auto"/>
        <w:jc w:val="left"/>
      </w:pPr>
      <w:r>
        <w:rPr>
          <w:rFonts w:ascii="Times New Roman" w:hAnsi="Times New Roman"/>
          <w:b w:val="0"/>
          <w:i w:val="0"/>
          <w:sz w:val="24"/>
        </w:rPr>
        <w:t>3. Акты передачи площадки, документации, давальческих материалов; платёжные поручения об авансе (даты).</w:t>
      </w:r>
    </w:p>
    <w:p>
      <w:pPr>
        <w:spacing w:after="40" w:line="276" w:lineRule="auto"/>
        <w:jc w:val="left"/>
      </w:pPr>
      <w:r>
        <w:rPr>
          <w:rFonts w:ascii="Times New Roman" w:hAnsi="Times New Roman"/>
          <w:b w:val="0"/>
          <w:i w:val="0"/>
          <w:sz w:val="24"/>
        </w:rPr>
        <w:t>4. Уведомления подрядчика о приостановлении работ и ответы заказчика.</w:t>
      </w:r>
    </w:p>
    <w:p>
      <w:pPr>
        <w:spacing w:after="40" w:line="276" w:lineRule="auto"/>
        <w:jc w:val="left"/>
      </w:pPr>
      <w:r>
        <w:rPr>
          <w:rFonts w:ascii="Times New Roman" w:hAnsi="Times New Roman"/>
          <w:b w:val="0"/>
          <w:i w:val="0"/>
          <w:sz w:val="24"/>
        </w:rPr>
        <w:t>5. Контррасчёт неустойки.</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Подрядчик, не предупредивший заказчика и не приостановивший работы (п. 2 ст. 716 ГК РФ), не вправе потом ссылаться на эти обстоятельства. Поэтому ключевые доказательства — ваши письма заказчику в период работ.</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