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процентов за пользование чужими денежными средствами по статье 395 ГК РФ</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процентов за пользование чужими денежными средствами за период с «[дата]» по «[дата]» в размере [сумма] рублей [и до фактического исполнения обязательства].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Проценты по статье 395 ГК РФ рассчитаны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Неправомерного удержания денежных средств не было в части периода.</w:t>
      </w:r>
      <w:r>
        <w:rPr>
          <w:rFonts w:ascii="Times New Roman" w:hAnsi="Times New Roman"/>
          <w:b w:val="0"/>
          <w:i w:val="0"/>
          <w:sz w:val="24"/>
        </w:rPr>
        <w:t xml:space="preserve"> Проценты по статье 395 ГК РФ начисляются только за неправомерное удержание. [До «[дата]» обязанность уплатить не наступила: срок исполнения определён моментом востребования, а требование получено ответчиком «[дата]» (абзац второй пункта 1 статьи 810 ГК РФ: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 истец уклонялся от принятия исполнения — не сообщил реквизиты, не явился за деньгами.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Пунктом 3 той же статьи: «По денежному обязательству должник не обязан платить проценты за время просрочки кредитора.»].</w:t>
      </w:r>
    </w:p>
    <w:p>
      <w:pPr>
        <w:spacing w:after="120" w:line="276" w:lineRule="auto"/>
        <w:ind w:firstLine="709"/>
        <w:jc w:val="both"/>
      </w:pPr>
      <w:r>
        <w:rPr>
          <w:rFonts w:ascii="Times New Roman" w:hAnsi="Times New Roman"/>
          <w:b/>
          <w:i w:val="0"/>
          <w:sz w:val="24"/>
        </w:rPr>
        <w:t>Долг погашен частично — проценты начисляются на остаток.</w:t>
      </w:r>
      <w:r>
        <w:rPr>
          <w:rFonts w:ascii="Times New Roman" w:hAnsi="Times New Roman"/>
          <w:b w:val="0"/>
          <w:i w:val="0"/>
          <w:sz w:val="24"/>
        </w:rPr>
        <w:t xml:space="preserve"> Ответчик перечислил [сумма] рублей «[дата]» и [сумма] рублей «[дата]». Пунктом 3 статьи 395 ГК РФ: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Истец не уменьшил базу начисления после этих платежей.</w:t>
      </w:r>
    </w:p>
    <w:p>
      <w:pPr>
        <w:spacing w:after="120" w:line="276" w:lineRule="auto"/>
        <w:ind w:firstLine="709"/>
        <w:jc w:val="both"/>
      </w:pPr>
      <w:r>
        <w:rPr>
          <w:rFonts w:ascii="Times New Roman" w:hAnsi="Times New Roman"/>
          <w:b/>
          <w:i w:val="0"/>
          <w:sz w:val="24"/>
        </w:rPr>
        <w:t>Мораторий.</w:t>
      </w:r>
      <w:r>
        <w:rPr>
          <w:rFonts w:ascii="Times New Roman" w:hAnsi="Times New Roman"/>
          <w:b w:val="0"/>
          <w:i w:val="0"/>
          <w:sz w:val="24"/>
        </w:rPr>
        <w:t xml:space="preserve"> [Период с 01.04.2022 по 01.10.2022 исключается из расчёта: на этот срок постановлением Правительства РФ от 28.03.2022 № 497 введён мораторий на возбуждение дел о банкротстве. Подпунктом 2 пункта 3 статьи 9.1 Федерального закона «О несостоятельности (банкротстве)» установлено, что на срок действия моратория «наступают последствия, предусмотренные абзацами пятым и седьмым - десятым пункта 1 статьи 63 настоящего Федерального закона» Абзацем десятым пункта 1 статьи 63 того же закона: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Согласно пункту 7 постановления Пленума Верховного Суда РФ от 24.12.2020 № 44 это распространяется и на проценты по статье 395 ГК РФ. Ответчик от применения моратория не отказывался.]</w:t>
      </w:r>
    </w:p>
    <w:p>
      <w:pPr>
        <w:spacing w:after="120" w:line="276" w:lineRule="auto"/>
        <w:ind w:firstLine="709"/>
        <w:jc w:val="both"/>
      </w:pPr>
      <w:r>
        <w:rPr>
          <w:rFonts w:ascii="Times New Roman" w:hAnsi="Times New Roman"/>
          <w:b/>
          <w:i w:val="0"/>
          <w:sz w:val="24"/>
        </w:rPr>
        <w:t>Проценты подлежат уменьшению при явной несоразмерности.</w:t>
      </w:r>
      <w:r>
        <w:rPr>
          <w:rFonts w:ascii="Times New Roman" w:hAnsi="Times New Roman"/>
          <w:b w:val="0"/>
          <w:i w:val="0"/>
          <w:sz w:val="24"/>
        </w:rPr>
        <w:t xml:space="preserve"> Пунктом 6 статьи 395 ГК РФ: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настоящей статьи.» [Если по договору процент выше ставки — ответчик просит снизить до ключевой ставки.]</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199, 395, 406, 810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 частичном удовлетворении:] Взыскать проценты по статье 395 ГК РФ по контррасчёту ответчика в размере [сумма] рублей за период с «[дата]» по «[дата]», исключив период моратория и период, за пределами срока давности; в остальной части отказать.</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Контррасчёт процентов по периодам действия ключевой ставки.</w:t>
      </w:r>
    </w:p>
    <w:p>
      <w:pPr>
        <w:spacing w:after="40" w:line="276" w:lineRule="auto"/>
        <w:jc w:val="left"/>
      </w:pPr>
      <w:r>
        <w:rPr>
          <w:rFonts w:ascii="Times New Roman" w:hAnsi="Times New Roman"/>
          <w:b w:val="0"/>
          <w:i w:val="0"/>
          <w:sz w:val="24"/>
        </w:rPr>
        <w:t>3. Документы о частичном погашении долга.</w:t>
      </w:r>
    </w:p>
    <w:p>
      <w:pPr>
        <w:spacing w:after="40" w:line="276" w:lineRule="auto"/>
        <w:jc w:val="left"/>
      </w:pPr>
      <w:r>
        <w:rPr>
          <w:rFonts w:ascii="Times New Roman" w:hAnsi="Times New Roman"/>
          <w:b w:val="0"/>
          <w:i w:val="0"/>
          <w:sz w:val="24"/>
        </w:rPr>
        <w:t>4. Документы о дате получения требования / об уклонении кредитора от принятия исполнения.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Пересчитайте проценты по периодам ключевой ставки с учётом каждого платежа — ошибки в расчёте истцов типичны.</w:t>
      </w:r>
    </w:p>
    <w:p>
      <w:pPr>
        <w:spacing w:after="40" w:line="276" w:lineRule="auto"/>
        <w:jc w:val="both"/>
      </w:pPr>
      <w:r>
        <w:rPr>
          <w:rFonts w:ascii="Times New Roman" w:hAnsi="Times New Roman"/>
          <w:b w:val="0"/>
          <w:i/>
          <w:sz w:val="24"/>
        </w:rPr>
        <w:t>— Проверьте, не попадает ли период начисления неустойки и процентов под мораторий на банкротство (например, ПП РФ № 497 с 01.04.2022 по 01.10.2022): в этот период финансовые санкции к должнику не начисляются, если он не отказался от моратория.</w:t>
      </w:r>
    </w:p>
    <w:p>
      <w:pPr>
        <w:spacing w:after="40" w:line="276" w:lineRule="auto"/>
        <w:jc w:val="both"/>
      </w:pPr>
      <w:r>
        <w:rPr>
          <w:rFonts w:ascii="Times New Roman" w:hAnsi="Times New Roman"/>
          <w:b w:val="0"/>
          <w:i/>
          <w:sz w:val="24"/>
        </w:rPr>
        <w:t>— Статьи 406 ГК РФ, 9.1 и 63 Закона о банкротстве приведены дословно; мораторий по ПП № 497 действовал с 01.04.2022 по 01.10.2022 и не применяется к должнику, заявившему об отказе от него.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