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перевозчик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грузоотправитель (грузополучатель)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провозной платы, штрафа за простой транспортного средства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провозной платы по договору перевозки (заявке) от «[дата]» № [__] в размере [сумма] рублей, штрафа за простой транспортного средства в размере [сумма] рублей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относительно провозной платы</w:t>
      </w:r>
    </w:p>
    <w:p>
      <w:pPr>
        <w:spacing w:after="120" w:line="276" w:lineRule="auto"/>
        <w:ind w:firstLine="709"/>
        <w:jc w:val="both"/>
      </w:pPr>
      <w:r>
        <w:rPr>
          <w:rFonts w:ascii="Times New Roman" w:hAnsi="Times New Roman"/>
          <w:b/>
          <w:i w:val="0"/>
          <w:sz w:val="24"/>
        </w:rPr>
        <w:t>Провозная плата определена иначе, чем указывает истец.</w:t>
      </w:r>
      <w:r>
        <w:rPr>
          <w:rFonts w:ascii="Times New Roman" w:hAnsi="Times New Roman"/>
          <w:b w:val="0"/>
          <w:i w:val="0"/>
          <w:sz w:val="24"/>
        </w:rPr>
        <w:t xml:space="preserve"> Пунктом 1 статьи 790 ГК РФ установлено: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 В заявке согласована ставка [сумма] рублей за рейс [включая погрузо-разгрузочные операции]; дополнительные услуги, которые истец включил в расчёт, грузоотправитель не заказывал (пункт 3 статьи 790 ГК РФ: «Работы и услуги, выполняемые перевозчиком по требованию грузовладельца и не предусмотренные тарифами, оплачиваются по соглашению сторон.»).</w:t>
      </w:r>
    </w:p>
    <w:p>
      <w:pPr>
        <w:spacing w:after="120" w:line="276" w:lineRule="auto"/>
        <w:ind w:firstLine="709"/>
        <w:jc w:val="both"/>
      </w:pPr>
      <w:r>
        <w:rPr>
          <w:rFonts w:ascii="Times New Roman" w:hAnsi="Times New Roman"/>
          <w:b/>
          <w:i w:val="0"/>
          <w:sz w:val="24"/>
        </w:rPr>
        <w:t>Перевозка выполнена ненадлежащим образом, что исключает оплату в полном объёме.</w:t>
      </w:r>
      <w:r>
        <w:rPr>
          <w:rFonts w:ascii="Times New Roman" w:hAnsi="Times New Roman"/>
          <w:b w:val="0"/>
          <w:i w:val="0"/>
          <w:sz w:val="24"/>
        </w:rPr>
        <w:t xml:space="preserve"> [Груз доставлен с повреждениями / с опозданием / не в тот пункт]; встречные требования грузоотправителя [штраф за просрочку доставки, ущерб] заявлены к зачёту письмом от «[дата]» (статья 410 ГК РФ: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jc w:val="center"/>
      </w:pPr>
      <w:r>
        <w:rPr>
          <w:rFonts w:ascii="Times New Roman" w:hAnsi="Times New Roman"/>
          <w:b/>
          <w:i w:val="0"/>
          <w:sz w:val="24"/>
        </w:rPr>
        <w:t>III. Возражения относительно штрафа за простой</w:t>
      </w:r>
    </w:p>
    <w:p>
      <w:pPr>
        <w:spacing w:after="120" w:line="276" w:lineRule="auto"/>
        <w:ind w:firstLine="709"/>
        <w:jc w:val="both"/>
      </w:pPr>
      <w:r>
        <w:rPr>
          <w:rFonts w:ascii="Times New Roman" w:hAnsi="Times New Roman"/>
          <w:b/>
          <w:i w:val="0"/>
          <w:sz w:val="24"/>
        </w:rPr>
        <w:t>Простой не подтверждён отметками в транспортной накладной.</w:t>
      </w:r>
      <w:r>
        <w:rPr>
          <w:rFonts w:ascii="Times New Roman" w:hAnsi="Times New Roman"/>
          <w:b w:val="0"/>
          <w:i w:val="0"/>
          <w:sz w:val="24"/>
        </w:rPr>
        <w:t xml:space="preserve"> Частью 5 статьи 11 Устава автомобильного транспорта установлено: «Грузоотправитель, грузополучатель обязаны отмечать в транспортной накладной, сопроводительной ведомости время подачи транспортного средства, контейнера в пункты погрузки, выгрузки и время отправления из них.» Отметок о времени подачи и убытия транспортного средства в накладной нет [или они не подписаны представителем грузоотправителя]; путевой лист и данные трекера, составленные самим перевозчиком, их не заменяют.</w:t>
      </w:r>
    </w:p>
    <w:p>
      <w:pPr>
        <w:spacing w:after="120" w:line="276" w:lineRule="auto"/>
        <w:ind w:firstLine="709"/>
        <w:jc w:val="both"/>
      </w:pPr>
      <w:r>
        <w:rPr>
          <w:rFonts w:ascii="Times New Roman" w:hAnsi="Times New Roman"/>
          <w:b/>
          <w:i w:val="0"/>
          <w:sz w:val="24"/>
        </w:rPr>
        <w:t>Время на погрузку не превышено.</w:t>
      </w:r>
      <w:r>
        <w:rPr>
          <w:rFonts w:ascii="Times New Roman" w:hAnsi="Times New Roman"/>
          <w:b w:val="0"/>
          <w:i w:val="0"/>
          <w:sz w:val="24"/>
        </w:rPr>
        <w:t xml:space="preserve"> Частью 1 статьи 11 Устава автомобильного транспорта установлено: «Погрузка грузов в транспортные средства, контейнеры и выгрузка грузов из них должны выполняться в сроки, установленные договором перевозки груза, а в случае, если указанные сроки в договоре перевозки груза не установлены, в сроки, предусмотренные правилами перевозок грузов.» [Транспорт подан с опозданием / вне согласованного окна загрузки]; нормативное время погрузки исчисляется с момента предъявления водителем документов, а не с момента прибытия к территории грузоотправителя.</w:t>
      </w:r>
    </w:p>
    <w:p>
      <w:pPr>
        <w:spacing w:after="120" w:line="276" w:lineRule="auto"/>
        <w:ind w:firstLine="709"/>
        <w:jc w:val="both"/>
      </w:pPr>
      <w:r>
        <w:rPr>
          <w:rFonts w:ascii="Times New Roman" w:hAnsi="Times New Roman"/>
          <w:b/>
          <w:i w:val="0"/>
          <w:sz w:val="24"/>
        </w:rPr>
        <w:t>Штраф рассчитан неверно.</w:t>
      </w:r>
      <w:r>
        <w:rPr>
          <w:rFonts w:ascii="Times New Roman" w:hAnsi="Times New Roman"/>
          <w:b w:val="0"/>
          <w:i w:val="0"/>
          <w:sz w:val="24"/>
        </w:rPr>
        <w:t xml:space="preserve"> Частью 4 статьи 35 Устава автомобильного транспорта предусмотрено: «За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 Истец [применил двойной размер для неспециализированного транспорта / считал неполные часы / принял за базу провозную плату за весь маршрут, а не среднесуточную].</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провозной платы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IV.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Пропущен годичный срок исковой давности по перевозке [по всем требованиям, связанным с перевозками ранее «[дата]»].</w:t>
      </w:r>
      <w:r>
        <w:rPr>
          <w:rFonts w:ascii="Times New Roman" w:hAnsi="Times New Roman"/>
          <w:b w:val="0"/>
          <w:i w:val="0"/>
          <w:sz w:val="24"/>
        </w:rPr>
        <w:t xml:space="preserve"> Пунктом 3 статьи 797 ГК РФ установлено: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Частью 1 статьи 42 Устава автомобильного транспорта предусмотрено: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Событие, с которого исчисляется срок, наступило «[дата]», иск подан «[дата]» — по истечении года.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410, 790, 797 ГК РФ, статьями 11, 35, 42 Устава автомобильного транспорта и городского наземного электрического транспорта,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провозной платы, штрафа за простой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штраф за простой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Заявка (договор перевозки) со ставкой и условиями.</w:t>
      </w:r>
    </w:p>
    <w:p>
      <w:pPr>
        <w:spacing w:after="40" w:line="276" w:lineRule="auto"/>
        <w:jc w:val="left"/>
      </w:pPr>
      <w:r>
        <w:rPr>
          <w:rFonts w:ascii="Times New Roman" w:hAnsi="Times New Roman"/>
          <w:b w:val="0"/>
          <w:i w:val="0"/>
          <w:sz w:val="24"/>
        </w:rPr>
        <w:t>3. Транспортные накладные (отметки о времени подачи и убытия транспорта).</w:t>
      </w:r>
    </w:p>
    <w:p>
      <w:pPr>
        <w:spacing w:after="40" w:line="276" w:lineRule="auto"/>
        <w:jc w:val="left"/>
      </w:pPr>
      <w:r>
        <w:rPr>
          <w:rFonts w:ascii="Times New Roman" w:hAnsi="Times New Roman"/>
          <w:b w:val="0"/>
          <w:i w:val="0"/>
          <w:sz w:val="24"/>
        </w:rPr>
        <w:t>4. Документы о ненадлежащем исполнении перевозки, заявление о зачёте.</w:t>
      </w:r>
    </w:p>
    <w:p>
      <w:pPr>
        <w:spacing w:after="40" w:line="276" w:lineRule="auto"/>
        <w:jc w:val="left"/>
      </w:pPr>
      <w:r>
        <w:rPr>
          <w:rFonts w:ascii="Times New Roman" w:hAnsi="Times New Roman"/>
          <w:b w:val="0"/>
          <w:i w:val="0"/>
          <w:sz w:val="24"/>
        </w:rPr>
        <w:t>5. Контррасчёт штрафа за простой.</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исковой давности по требованиям из перевозки — один год (п. 3 ст. 797 ГК РФ, ст. 42 Устава автомобильного транспорта) и применяется к требованиям как к перевозчику, так и самого перевозчика.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