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выполненной части работ и убытков в связи с отказом заказчика от договора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части работ, выполненных до получения уведомления об отказе от договора подряда от «[дата]» № [__], в размере [сумма] рублей и убытков в размере [сумма] рублей по статье 717 ГК РФ.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Заказчик отказался от договора из-за нарушений подрядчика, а не по статье 717 ГК РФ.</w:t>
      </w:r>
      <w:r>
        <w:rPr>
          <w:rFonts w:ascii="Times New Roman" w:hAnsi="Times New Roman"/>
          <w:b w:val="0"/>
          <w:i w:val="0"/>
          <w:sz w:val="24"/>
        </w:rPr>
        <w:t xml:space="preserve"> Пунктом 2 статьи 715 ГК РФ установлено: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Пунктом 3 той же статьи: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Уведомление от «[дата]» прямо ссылается на [отставание от графика на [__] %, непредставление исполнительной документации, неустранение недостатков по предписаниям]. При отказе по этим основаниям подрядчик не вправе требовать убытков, предусмотренных статьёй 717 ГК РФ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напротив, убытки заказчика подлежат возмещению подрядчиком.</w:t>
      </w:r>
    </w:p>
    <w:p>
      <w:pPr>
        <w:spacing w:after="120" w:line="276" w:lineRule="auto"/>
        <w:ind w:firstLine="709"/>
        <w:jc w:val="both"/>
      </w:pPr>
      <w:r>
        <w:rPr>
          <w:rFonts w:ascii="Times New Roman" w:hAnsi="Times New Roman"/>
          <w:b/>
          <w:i w:val="0"/>
          <w:sz w:val="24"/>
        </w:rPr>
        <w:t>Объём фактически выполненных работ меньше заявленного.</w:t>
      </w:r>
      <w:r>
        <w:rPr>
          <w:rFonts w:ascii="Times New Roman" w:hAnsi="Times New Roman"/>
          <w:b w:val="0"/>
          <w:i w:val="0"/>
          <w:sz w:val="24"/>
        </w:rPr>
        <w:t xml:space="preserve">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 Подрядчик не передал результат незавершённых работ [не составил акт фиксации объёмов, не передал исполнительную документацию], а часть работ, указанных в его актах, выполнена другим подрядчиком после «[дата]».</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Ответчик ходатайствует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Убытки подрядчика не доказаны.</w:t>
      </w:r>
      <w:r>
        <w:rPr>
          <w:rFonts w:ascii="Times New Roman" w:hAnsi="Times New Roman"/>
          <w:b w:val="0"/>
          <w:i w:val="0"/>
          <w:sz w:val="24"/>
        </w:rPr>
        <w:t xml:space="preserve"> Пунктом 2 статьи 15 ГК РФ под убытками понимаются: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Подрядчик [не доказал расходы на материалы, закупленные именно для этого объекта / не доказал, что не может использовать их на других объектах / заявляет упущенную выгоду в размере всей сметной прибыли, хотя по статье 717 ГК РФ возмещаются убытки лишь в пределах разницы между ценой всей работы и частью цены, выплаченной за выполненную работу].</w:t>
      </w:r>
    </w:p>
    <w:p>
      <w:pPr>
        <w:spacing w:after="120" w:line="276" w:lineRule="auto"/>
        <w:ind w:firstLine="709"/>
        <w:jc w:val="both"/>
      </w:pPr>
      <w:r>
        <w:rPr>
          <w:rFonts w:ascii="Times New Roman" w:hAnsi="Times New Roman"/>
          <w:b/>
          <w:i w:val="0"/>
          <w:sz w:val="24"/>
        </w:rPr>
        <w:t>Встречное требование заказчика о возврате неотработанного аванса.</w:t>
      </w:r>
      <w:r>
        <w:rPr>
          <w:rFonts w:ascii="Times New Roman" w:hAnsi="Times New Roman"/>
          <w:b w:val="0"/>
          <w:i w:val="0"/>
          <w:sz w:val="24"/>
        </w:rPr>
        <w:t xml:space="preserve"> Заказчик перечислил аванс [сумма] рублей, который превышает стоимость фактически выполненных работ. Пунктом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Сальдо встречных обязательств складывается в пользу заказчика [сумма] рублей.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453, 715, 717, 729 ГК РФ, статьями 65, 70, 71, 82, 131, 132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работ 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по вопросу об объёме и стоимости работ, фактически выполненных истцом до «[дата]».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об отказе от договора с указанием оснований и доказательства его получения подрядчиком.</w:t>
      </w:r>
    </w:p>
    <w:p>
      <w:pPr>
        <w:spacing w:after="40" w:line="276" w:lineRule="auto"/>
        <w:jc w:val="left"/>
      </w:pPr>
      <w:r>
        <w:rPr>
          <w:rFonts w:ascii="Times New Roman" w:hAnsi="Times New Roman"/>
          <w:b w:val="0"/>
          <w:i w:val="0"/>
          <w:sz w:val="24"/>
        </w:rPr>
        <w:t>3. Документы о нарушениях подрядчика: графики, предписания технадзора, акты проверок.</w:t>
      </w:r>
    </w:p>
    <w:p>
      <w:pPr>
        <w:spacing w:after="40" w:line="276" w:lineRule="auto"/>
        <w:jc w:val="left"/>
      </w:pPr>
      <w:r>
        <w:rPr>
          <w:rFonts w:ascii="Times New Roman" w:hAnsi="Times New Roman"/>
          <w:b w:val="0"/>
          <w:i w:val="0"/>
          <w:sz w:val="24"/>
        </w:rPr>
        <w:t>4. Документы о выполнении работ новым подрядчиком после отказа.</w:t>
      </w:r>
    </w:p>
    <w:p>
      <w:pPr>
        <w:spacing w:after="40" w:line="276" w:lineRule="auto"/>
        <w:jc w:val="left"/>
      </w:pPr>
      <w:r>
        <w:rPr>
          <w:rFonts w:ascii="Times New Roman" w:hAnsi="Times New Roman"/>
          <w:b w:val="0"/>
          <w:i w:val="0"/>
          <w:sz w:val="24"/>
        </w:rPr>
        <w:t>5. Платёжные поручения об авансе; расчёт сальдо встречных обязательств.</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Квалификация отказа определяет исход дела: отказ по ст. 715 ГК РФ (из-за нарушений подрядчика) лишает его права на убытки по ст. 717 ГК РФ. Поэтому в уведомлении об отказе основания должны быть названы прямо и подтверждены.</w:t>
      </w:r>
    </w:p>
    <w:p>
      <w:pPr>
        <w:spacing w:after="40" w:line="276" w:lineRule="auto"/>
        <w:jc w:val="both"/>
      </w:pPr>
      <w:r>
        <w:rPr>
          <w:rFonts w:ascii="Times New Roman" w:hAnsi="Times New Roman"/>
          <w:b w:val="0"/>
          <w:i/>
          <w:sz w:val="24"/>
        </w:rPr>
        <w:t>— Неотработанный аванс лучше взыскать встречным иском (ст. 132 АПК РФ) — тогда суд определит итоговое сальдо в одном деле.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