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лизингополучатель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лизингодатель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сальдо встречных обязательств по расторгнутому договору выкупного лизинга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неосновательного обогащения в размере [сумма] рублей, составляющего, по расчёту истца, сальдо встречных обязательств по расторгнутому договору лизинга от «[дата]» № [__] после изъятия предмета лизинга,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Расторжение договора выкупного лизинга требует определения сальдо встречных обязательств.</w:t>
      </w:r>
      <w:r>
        <w:rPr>
          <w:rFonts w:ascii="Times New Roman" w:hAnsi="Times New Roman"/>
          <w:b w:val="0"/>
          <w:i w:val="0"/>
          <w:sz w:val="24"/>
        </w:rPr>
        <w:t xml:space="preserve"> Пунктом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Сопоставлению подлежат все предоставления сторон: уплаченные лизинговые платежи (включая аванс), стоимость возвращённого предмета лизинга — с одной стороны, и финансирование лизингодателя, плата за него за фактический срок, убытки и санкции — с другой. Требования лизингодателя, заявленные без такого сопоставления, не могут быть удовлетворены в отрыве от сальдо.</w:t>
      </w:r>
    </w:p>
    <w:p>
      <w:pPr>
        <w:spacing w:after="120" w:line="276" w:lineRule="auto"/>
        <w:ind w:firstLine="709"/>
        <w:jc w:val="both"/>
      </w:pPr>
      <w:r>
        <w:rPr>
          <w:rFonts w:ascii="Times New Roman" w:hAnsi="Times New Roman"/>
          <w:b/>
          <w:i w:val="0"/>
          <w:sz w:val="24"/>
        </w:rPr>
        <w:t>Стоимость возвращённого предмета лизинга истцом завышена.</w:t>
      </w:r>
      <w:r>
        <w:rPr>
          <w:rFonts w:ascii="Times New Roman" w:hAnsi="Times New Roman"/>
          <w:b w:val="0"/>
          <w:i w:val="0"/>
          <w:sz w:val="24"/>
        </w:rPr>
        <w:t xml:space="preserve"> Истец определил стоимость по [отчёту оценщика, заказанному им самим, на дату изъятия без осмотра / по цене нового имущества]. Фактически предмет лизинга продан лизингодателем «[дата]» на открытых торгах за [сумма] рублей в разумный срок после изъятия; цена реализации и является надлежащим доказательством его стоимости. Предмет имел [повреждения, некомплектность — акт изъятия], расходы на их устранение и хранение лизингодатель понёс в сумме [сумма] рублей.</w:t>
      </w:r>
    </w:p>
    <w:p>
      <w:pPr>
        <w:spacing w:after="120" w:line="276" w:lineRule="auto"/>
        <w:ind w:firstLine="709"/>
        <w:jc w:val="both"/>
      </w:pPr>
      <w:r>
        <w:rPr>
          <w:rFonts w:ascii="Times New Roman" w:hAnsi="Times New Roman"/>
          <w:b/>
          <w:i w:val="0"/>
          <w:sz w:val="24"/>
        </w:rPr>
        <w:t>Плата за финансирование рассчитывается до фактического возврата финансирования.</w:t>
      </w:r>
      <w:r>
        <w:rPr>
          <w:rFonts w:ascii="Times New Roman" w:hAnsi="Times New Roman"/>
          <w:b w:val="0"/>
          <w:i w:val="0"/>
          <w:sz w:val="24"/>
        </w:rPr>
        <w:t xml:space="preserve"> Истец начисляет плату за финансирование только до даты изъятия, хотя возврат финансирования происходит в момент получения денег от продажи предмета лизинга «[дата]». За период просрочки лизингополучателя по возврату предмета (часть 5 статьи 17 Федерального закона от 29.10.1998 № 164-ФЗ «О финансовой аренде (лизинге)»: «Если лизингополучатель не возвратил предмет лизинга или возвратил его несвоевременно, лизингодатель вправе требовать внесения платежей за время просрочки. В случае, если указанная плата не покрывает причиненных лизингодателю убытков, он может требовать их возмещения.») также причитается плата.</w:t>
      </w:r>
    </w:p>
    <w:p>
      <w:pPr>
        <w:spacing w:after="120" w:line="276" w:lineRule="auto"/>
        <w:ind w:firstLine="709"/>
        <w:jc w:val="both"/>
      </w:pPr>
      <w:r>
        <w:rPr>
          <w:rFonts w:ascii="Times New Roman" w:hAnsi="Times New Roman"/>
          <w:b/>
          <w:i w:val="0"/>
          <w:sz w:val="24"/>
        </w:rPr>
        <w:t>Истец не учёл убытки и санкции лизингодателя.</w:t>
      </w:r>
      <w:r>
        <w:rPr>
          <w:rFonts w:ascii="Times New Roman" w:hAnsi="Times New Roman"/>
          <w:b w:val="0"/>
          <w:i w:val="0"/>
          <w:sz w:val="24"/>
        </w:rPr>
        <w:t xml:space="preserve"> В сальдо включаются неустойка за просрочку лизинговых платежей [сумма] рублей, расходы на изъятие, хранение, оценку и продажу [сумма] рублей (пункт 2 статьи 13 Закона о лизинге: «Лизингодатель вправе потребовать досрочного расторжения договора лизинга и возврата в разумный срок лизингополучателем имущества в случаях, предусмотренных законодательством Российской Федерации, настоящим Федеральным законом и договором лизинга.» «В этом случае все расходы, связанные с возвратом имущества, в том числе расходы на его демонтаж, страхование и транспортировку, несет лизингополучатель.»), а также задолженность по платежам, начисленным до расторжения.</w:t>
      </w:r>
    </w:p>
    <w:p>
      <w:pPr>
        <w:spacing w:after="120" w:line="276" w:lineRule="auto"/>
        <w:ind w:firstLine="709"/>
        <w:jc w:val="both"/>
      </w:pPr>
      <w:r>
        <w:rPr>
          <w:rFonts w:ascii="Times New Roman" w:hAnsi="Times New Roman"/>
          <w:b/>
          <w:i w:val="0"/>
          <w:sz w:val="24"/>
        </w:rPr>
        <w:t>С учётом всех предоставлений сальдо в пользу истца отсутствует [или составляет [сумма] рублей].</w:t>
      </w:r>
      <w:r>
        <w:rPr>
          <w:rFonts w:ascii="Times New Roman" w:hAnsi="Times New Roman"/>
          <w:b w:val="0"/>
          <w:i w:val="0"/>
          <w:sz w:val="24"/>
        </w:rPr>
        <w:t xml:space="preserve"> Расчёт ответчика прилагается: [финансирование] + [плата за финансирование до «[дата]»] + [убытки, неустойка] − [уплаченные платежи, аванс] − [выручка от реализации] = [результат]. Неосновательного обогащения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у лизингодателя нет.</w:t>
      </w:r>
    </w:p>
    <w:p>
      <w:pPr>
        <w:spacing w:after="120" w:line="276" w:lineRule="auto"/>
        <w:ind w:firstLine="709"/>
        <w:jc w:val="both"/>
      </w:pPr>
      <w:r>
        <w:rPr>
          <w:rFonts w:ascii="Times New Roman" w:hAnsi="Times New Roman"/>
          <w:b/>
          <w:i w:val="0"/>
          <w:sz w:val="24"/>
        </w:rPr>
        <w:t>Проценты не начисляются ранее определения сальдо.</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Лизингодатель мог узнать о наличии сальдо в пользу лизингополучателя не ранее продажи предмета лизинга.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453, 1102, 1107 ГК РФ, статьями 13, 17 Федерального закона «О финансовой аренде (лизинге)»,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сальдо встречных обязательств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оценочную экспертизу рыночной стоимости предмета лизинга на дату его изъятия с учётом фактического состояния.</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изъятия предмета лизинга (состояние, комплектность).</w:t>
      </w:r>
    </w:p>
    <w:p>
      <w:pPr>
        <w:spacing w:after="40" w:line="276" w:lineRule="auto"/>
        <w:jc w:val="left"/>
      </w:pPr>
      <w:r>
        <w:rPr>
          <w:rFonts w:ascii="Times New Roman" w:hAnsi="Times New Roman"/>
          <w:b w:val="0"/>
          <w:i w:val="0"/>
          <w:sz w:val="24"/>
        </w:rPr>
        <w:t>3. Договор купли-продажи изъятого предмета лизинга, документы о торгах, платёжное поручение покупателя.</w:t>
      </w:r>
    </w:p>
    <w:p>
      <w:pPr>
        <w:spacing w:after="40" w:line="276" w:lineRule="auto"/>
        <w:jc w:val="left"/>
      </w:pPr>
      <w:r>
        <w:rPr>
          <w:rFonts w:ascii="Times New Roman" w:hAnsi="Times New Roman"/>
          <w:b w:val="0"/>
          <w:i w:val="0"/>
          <w:sz w:val="24"/>
        </w:rPr>
        <w:t>4. Документы о расходах на изъятие, хранение, ремонт, оценку, реализацию.</w:t>
      </w:r>
    </w:p>
    <w:p>
      <w:pPr>
        <w:spacing w:after="40" w:line="276" w:lineRule="auto"/>
        <w:jc w:val="left"/>
      </w:pPr>
      <w:r>
        <w:rPr>
          <w:rFonts w:ascii="Times New Roman" w:hAnsi="Times New Roman"/>
          <w:b w:val="0"/>
          <w:i w:val="0"/>
          <w:sz w:val="24"/>
        </w:rPr>
        <w:t>5. Расчёт сальдо встречных обязательств.</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Стоимость возвращённого предмета лизинга суды обычно определяют по цене его реализации, если продажа была разумной по сроку и способу (открытые торги, разумная цена). Сохраните доказательства добросовестной продажи.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