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стоимости невозвращённых давальческих материалов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стоимости давальческих материалов, переданных по договору подряда от «[дата]» № [__] и, по утверждению истца, не возвращённых и не использованных, в размере [сумма] рублей [и процентов].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Материалы израсходованы на работы, результат которых передан заказчику.</w:t>
      </w:r>
      <w:r>
        <w:rPr>
          <w:rFonts w:ascii="Times New Roman" w:hAnsi="Times New Roman"/>
          <w:b w:val="0"/>
          <w:i w:val="0"/>
          <w:sz w:val="24"/>
        </w:rPr>
        <w:t xml:space="preserve"> Пунктом 1 статьи 713 ГК РФ установлено: «Подрядчик обязан использовать предоставленный заказчиком материал экономно и расчетливо, после окончания работы представить заказчику отчет об израсходовании материала, а также возвратить его остаток либо с согласия заказчика уменьшить цену работы с учетом стоимости остающегося у подрядчика неиспользованного материала.» Подрядчик представил отчёты об использовании материалов [форма М-29 / отчёт по давальческому сырью] вместе с актами КС-2 № [__]; материалы списаны по нормам расхода, предусмотренным проектом. Заказчик эти отчёты принял [или не заявил по ним возражений].</w:t>
      </w:r>
    </w:p>
    <w:p>
      <w:pPr>
        <w:spacing w:after="120" w:line="276" w:lineRule="auto"/>
        <w:ind w:firstLine="709"/>
        <w:jc w:val="both"/>
      </w:pPr>
      <w:r>
        <w:rPr>
          <w:rFonts w:ascii="Times New Roman" w:hAnsi="Times New Roman"/>
          <w:b/>
          <w:i w:val="0"/>
          <w:sz w:val="24"/>
        </w:rPr>
        <w:t>Передача материалов в заявленном количестве не доказана.</w:t>
      </w:r>
      <w:r>
        <w:rPr>
          <w:rFonts w:ascii="Times New Roman" w:hAnsi="Times New Roman"/>
          <w:b w:val="0"/>
          <w:i w:val="0"/>
          <w:sz w:val="24"/>
        </w:rPr>
        <w:t xml:space="preserve"> Истец ссылается на [накладные М-15 без подписи уполномоченного лица подрядчика / внутренние документы заказчика]. Часть материалов фактически не передавалась или передана другому подрядчику, работавшему на объекте. Согласно части 1 статьи 65 АПК РФ количество переданного должен доказать истец.</w:t>
      </w:r>
    </w:p>
    <w:p>
      <w:pPr>
        <w:spacing w:after="120" w:line="276" w:lineRule="auto"/>
        <w:ind w:firstLine="709"/>
        <w:jc w:val="both"/>
      </w:pPr>
      <w:r>
        <w:rPr>
          <w:rFonts w:ascii="Times New Roman" w:hAnsi="Times New Roman"/>
          <w:b/>
          <w:i w:val="0"/>
          <w:sz w:val="24"/>
        </w:rPr>
        <w:t>Остаток материалов возвращён [или находится на объекте в распоряжении заказчика].</w:t>
      </w:r>
      <w:r>
        <w:rPr>
          <w:rFonts w:ascii="Times New Roman" w:hAnsi="Times New Roman"/>
          <w:b w:val="0"/>
          <w:i w:val="0"/>
          <w:sz w:val="24"/>
        </w:rPr>
        <w:t xml:space="preserve"> «[дата]» подрядчик уведомил заказчика о готовности передать остаток [перечень] и предложил забрать его; материалы оставлены на охраняемой площадке заказчика после прекращения договора. Подрядчик не владеет ими, а значит, статья 714 ГК РФ («Подрядчик несет ответственность за несохранность предоставленных заказчиком материала, оборудования, переданной для переработки (обработки) вещи или иного имущества, оказавшегося во владении подрядчика в связи с исполнением договора подряда.») к нему не применима.</w:t>
      </w:r>
    </w:p>
    <w:p>
      <w:pPr>
        <w:spacing w:after="120" w:line="276" w:lineRule="auto"/>
        <w:ind w:firstLine="709"/>
        <w:jc w:val="both"/>
      </w:pPr>
      <w:r>
        <w:rPr>
          <w:rFonts w:ascii="Times New Roman" w:hAnsi="Times New Roman"/>
          <w:b/>
          <w:i w:val="0"/>
          <w:sz w:val="24"/>
        </w:rPr>
        <w:t>Стоимость материалов определена неверно.</w:t>
      </w:r>
      <w:r>
        <w:rPr>
          <w:rFonts w:ascii="Times New Roman" w:hAnsi="Times New Roman"/>
          <w:b w:val="0"/>
          <w:i w:val="0"/>
          <w:sz w:val="24"/>
        </w:rPr>
        <w:t xml:space="preserve"> Пунктом 1 статьи 1105 ГК РФ установлено: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 Истец указывает [цену новых материалов на дату иска / цену с НДС и транспортными расходами], тогда как значение имеет действительная стоимость на момент приобретения [с учётом частичного использования].</w:t>
      </w:r>
    </w:p>
    <w:p>
      <w:pPr>
        <w:spacing w:after="120" w:line="276" w:lineRule="auto"/>
        <w:ind w:firstLine="709"/>
        <w:jc w:val="both"/>
      </w:pPr>
      <w:r>
        <w:rPr>
          <w:rFonts w:ascii="Times New Roman" w:hAnsi="Times New Roman"/>
          <w:b/>
          <w:i w:val="0"/>
          <w:sz w:val="24"/>
        </w:rPr>
        <w:t>Проценты не начисляются.</w:t>
      </w:r>
      <w:r>
        <w:rPr>
          <w:rFonts w:ascii="Times New Roman" w:hAnsi="Times New Roman"/>
          <w:b w:val="0"/>
          <w:i w:val="0"/>
          <w:sz w:val="24"/>
        </w:rPr>
        <w:t xml:space="preserve"> Пунктом 2 статьи 1107 ГК РФ установлено: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Подрядчик не знал и не должен был знать о неосновательности удержания: материалы использованы в работах, а претензия о возврате впервые получена «[дата]».</w:t>
      </w:r>
    </w:p>
    <w:p>
      <w:pPr>
        <w:spacing w:after="120" w:line="276" w:lineRule="auto"/>
        <w:ind w:firstLine="709"/>
        <w:jc w:val="both"/>
      </w:pPr>
      <w:r>
        <w:rPr>
          <w:rFonts w:ascii="Times New Roman" w:hAnsi="Times New Roman"/>
          <w:b/>
          <w:i w:val="0"/>
          <w:sz w:val="24"/>
        </w:rPr>
        <w:t>Расход материалов должен быть проверен экспертизой.</w:t>
      </w:r>
      <w:r>
        <w:rPr>
          <w:rFonts w:ascii="Times New Roman" w:hAnsi="Times New Roman"/>
          <w:b w:val="0"/>
          <w:i w:val="0"/>
          <w:sz w:val="24"/>
        </w:rPr>
        <w:t xml:space="preserve"> Спор о количестве израсходованных материалов разрешается сопоставлением объёмов работ с проектными нормами расхода.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Ответчик ходатайствует о назначении судебной строительно-технической экспертизы для определения объёма, стоимости и качества фактически выполненных работ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713, 714, 1105, 1107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стоимости давальческих материалов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[При необходимости] назначить судебную строительно-техническую экспертизу по вопросу об объёме материалов, необходимых для выполнения работ, отражённых в актах КС-2.</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Отчёты об использовании давальческих материалов, переданные заказчику, и доказательства их передачи.</w:t>
      </w:r>
    </w:p>
    <w:p>
      <w:pPr>
        <w:spacing w:after="40" w:line="276" w:lineRule="auto"/>
        <w:jc w:val="left"/>
      </w:pPr>
      <w:r>
        <w:rPr>
          <w:rFonts w:ascii="Times New Roman" w:hAnsi="Times New Roman"/>
          <w:b w:val="0"/>
          <w:i w:val="0"/>
          <w:sz w:val="24"/>
        </w:rPr>
        <w:t>3. Акты КС-2 с объёмами работ, проектные нормы расхода материалов.</w:t>
      </w:r>
    </w:p>
    <w:p>
      <w:pPr>
        <w:spacing w:after="40" w:line="276" w:lineRule="auto"/>
        <w:jc w:val="left"/>
      </w:pPr>
      <w:r>
        <w:rPr>
          <w:rFonts w:ascii="Times New Roman" w:hAnsi="Times New Roman"/>
          <w:b w:val="0"/>
          <w:i w:val="0"/>
          <w:sz w:val="24"/>
        </w:rPr>
        <w:t>4. Уведомление о готовности передать остаток материалов, акт об оставлении материалов на объекте.</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Лучшее доказательство подрядчика — отчёты об использовании материалов, переданные заказчику вместе с актами. Если их не было, подготовьте расчёт расхода по проектным нормам и заявите экспертизу.</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