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поклажедатель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хранитель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стоимости утраченной (повреждённой) вещи, переданной на хранение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стоимости [вещи], переданной на хранение по [договору / квитанции] от «[дата]», в размере [сумма] рублей.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Хранитель-гражданин отвечает только при вине.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901 Гражданского кодекса Российской Федерации (далее — ГК РФ) установлено: «Хранитель отвечает за утрату, недостачу или повреждение вещей, принятых на хранение, по основаниям, предусмотренным статьей 401 настоящего Кодекса.» Ответчик хранил вещь безвозмездно, не является профессиональным хранителем и принял все меры для её сохранности: [вещь находилась в запертом гараже / квартире; утрата произошла в результате [кражи — постановление о возбуждении уголовного дела, пожара по вине третьих лиц]]. Вины ответчика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Повреждение вызвано свойствами вещи, о которых истец не предупредил.</w:t>
      </w:r>
      <w:r>
        <w:rPr>
          <w:rFonts w:ascii="Times New Roman" w:hAnsi="Times New Roman"/>
          <w:b w:val="0"/>
          <w:i w:val="0"/>
          <w:sz w:val="24"/>
        </w:rPr>
        <w:t xml:space="preserve"> Даже профессиональный хранитель освобождается от ответственности в случаях, указанных в абзаце втором пункта 1 статьи 901 ГК РФ: «Профессиональный хранитель отвечает за утрату, недостачу или повреждение вещей, если не докажет, что утрата, недостача или повреждение произошли вследствие непреодолимой силы, либо из-за свойств вещи, о которых хранитель, принимая ее на хранение, не знал и не должен был знать, либо в результате умысла или грубой неосторожности поклажедателя.» Тем более это относится к безвозмездному хранителю. [Вещь имела [скрытые дефекты / требовала особых условий хранения], о чём поклажедатель не сообщил.]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ответственности безвозмездного хранителя ограничен.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902 ГК РФ: «При безвозмездном хранении убытки, причиненные поклажедателю утратой, недостачей или повреждением вещей, возмещаются:» «за утрату и недостачу вещей - в размере стоимости утраченных или недостающих вещей» «за повреждение вещей - в размере суммы, на которую понизилась их стоимость.» Стоимость вещи определяется с учётом износа на момент утраты, а не по цене новой. [Сумма, указанная истцом, — цена нового аналога; рыночная стоимость с учётом [__] лет эксплуатации — [сумма] рублей.]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Вещь возвращена [или поклажедатель уклонился от её получения].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900 ГК РФ: «Хранитель обязан возвратить поклажедателю или лицу, указанному им в качестве получателя, ту самую вещь, которая была передана на хранение, если договором не предусмотрено хранение с обезличением (статья 890).» [Вещь возвращена «[дата]» в том состоянии, в каком была принята, с учётом естественного износа (пункт 2 статьи 900 ГК РФ: «Вещь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 свойств.») / ответчик неоднократно предлагал истцу забрать вещь, истец не явился — после истечения срока хранения ответственность хранителя ограничивается умыслом и грубой неосторожностью.]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передачи вещи на хранение не доказан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[Письменного договора или квитанции нет; вещь оставлена истцом в помещении ответчика без его согласия / была передана в пользование, а не на хранение.]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заявляет о пропуске срока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Гражданского кодекса Российской Федерации (далее — ГК РФ) установлено: «Общий срок исковой давности составляет три года со дня, определяемого в соответствии со статьей 200 настоящего Кодекса.» Пунктом 1 статьи 200 ГК РФ: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Срок возврата [наступил «[дата]» / требование о возврате предъявлено «[дата]»];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900–902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взыскании стоимости вещи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частичном удовлетворении:] Определить размер возмещения по рыночной стоимости вещи с учётом износа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 передаче вещи на хранение (если были) и о её возврате.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причинах утраты (постановление полиции, справка МЧС).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Сведения о рыночной стоимости аналогичных вещей с учётом износа.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Переписка с предложением забрать вещь.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Безвозмездный хранитель-гражданин отвечает лишь при вине (п. 1 ст. 901 ГК РФ); кража или пожар без его вины освобождают от ответственности.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Стоимость считается с учётом износа, а не по цене новой вещи.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 пропуске срока исковой давности заявляйте в суде первой инстанции до вынесения решения (п. 2 ст. 199 ГК РФ) — в апелляции такое заявление уже не рассматривается, если суд не перешёл к рассмотрению дела по правилам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