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страхователь (выгодоприобретатель)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страховщик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страхового возмещения по договору страхования грузов</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страхового возмещения в размере [сумма] рублей по договору (генеральному полису) страхования грузов от «[дата]» № [__] в связи с [утратой / повреждением] груза при перевозке по накладной от «[дата]».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У истца нет страхового интереса в отношении груза.</w:t>
      </w:r>
      <w:r>
        <w:rPr>
          <w:rFonts w:ascii="Times New Roman" w:hAnsi="Times New Roman"/>
          <w:b w:val="0"/>
          <w:i w:val="0"/>
          <w:sz w:val="24"/>
        </w:rPr>
        <w:t xml:space="preserve"> Пунктом 1 статьи 930 ГК РФ установлено: «Имущество может быть застраховано по договору страхования в пользу лица (страхователя или выгодоприобретателя), имеющего основанный на законе, ином правовом акте или договоре интерес в сохранении этого имущества.» По условиям поставки [Incoterms / договору] риск случайной гибели груза на момент события лежал на [покупателе / продавце — ином лице], а не на истце.</w:t>
      </w:r>
    </w:p>
    <w:p>
      <w:pPr>
        <w:spacing w:after="120" w:line="276" w:lineRule="auto"/>
        <w:ind w:firstLine="709"/>
        <w:jc w:val="both"/>
      </w:pPr>
      <w:r>
        <w:rPr>
          <w:rFonts w:ascii="Times New Roman" w:hAnsi="Times New Roman"/>
          <w:b/>
          <w:i w:val="0"/>
          <w:sz w:val="24"/>
        </w:rPr>
        <w:t>Событие не является страховым случаем по условиям договора и правил страхования.</w:t>
      </w:r>
      <w:r>
        <w:rPr>
          <w:rFonts w:ascii="Times New Roman" w:hAnsi="Times New Roman"/>
          <w:b w:val="0"/>
          <w:i w:val="0"/>
          <w:sz w:val="24"/>
        </w:rPr>
        <w:t xml:space="preserve"> Пунктом 2 статьи 943 ГК РФ установлено: «Условия, содержащиеся в правилах страхования и не включенные в текст договора страхования (страхового полиса), обязательны для страхователя (выгодоприобретателя), если в договоре (страховом полисе) прямо указывается на применение таких правил и сами правила изложены в одном документе с договором (страховым полисом) или на его оборотной стороне либо приложены к нему. В последнем случае вручение страхователю при заключении договора правил страхования должно быть удостоверено записью в договоре.» В полисе есть ссылка на Правила страхования [наименование, редакция от «[дата]»], которые страхователь получил (отметка в полисе). Пунктом [__] Правил [событие: повреждение из-за ненадлежащей упаковки / естественных свойств груза / перевозка без охраны при условии об обязательной охране / груз не был заявлен в декларации к генеральному полису] исключено из страхового покрытия.</w:t>
      </w:r>
    </w:p>
    <w:p>
      <w:pPr>
        <w:spacing w:after="120" w:line="276" w:lineRule="auto"/>
        <w:ind w:firstLine="709"/>
        <w:jc w:val="both"/>
      </w:pPr>
      <w:r>
        <w:rPr>
          <w:rFonts w:ascii="Times New Roman" w:hAnsi="Times New Roman"/>
          <w:b/>
          <w:i w:val="0"/>
          <w:sz w:val="24"/>
        </w:rPr>
        <w:t>Страхователь несвоевременно уведомил страховщика.</w:t>
      </w:r>
      <w:r>
        <w:rPr>
          <w:rFonts w:ascii="Times New Roman" w:hAnsi="Times New Roman"/>
          <w:b w:val="0"/>
          <w:i w:val="0"/>
          <w:sz w:val="24"/>
        </w:rPr>
        <w:t xml:space="preserve"> Пунктом 1 статьи 961 ГК РФ установлено: «Страхователь по договору имущественного страхования после того, как ему стало известно о наступлении страхового случая, обязан незамедлительно уведомить о его наступлении страховщика или его представителя. Если договором предусмотрен срок и (или) способ уведомления, оно должно быть сделано в условленный срок и указанным в договоре способом.» Пунктом 2 той же статьи: «Неисполнение обязанности, предусмотренной пунктом 1 настоящей статьи, дает страховщику право отказать в выплате страхового возмещения, если не будет доказано, что страховщик своевременно узнал о наступлении страхового случая либо что отсутствие у страховщика сведений об этом не могло сказаться на его обязанности выплатить страховое возмещение.» О событии «[дата]» страховщик узнал лишь «[дата]»; к этому моменту [имущество отремонтировано / остатки утилизированы], что лишило страховщика возможности установить обстоятельства и размер убытков.</w:t>
      </w:r>
    </w:p>
    <w:p>
      <w:pPr>
        <w:spacing w:after="120" w:line="276" w:lineRule="auto"/>
        <w:ind w:firstLine="709"/>
        <w:jc w:val="both"/>
      </w:pPr>
      <w:r>
        <w:rPr>
          <w:rFonts w:ascii="Times New Roman" w:hAnsi="Times New Roman"/>
          <w:b/>
          <w:i w:val="0"/>
          <w:sz w:val="24"/>
        </w:rPr>
        <w:t>Страхователь лишил страховщика права требования к перевозчику.</w:t>
      </w:r>
      <w:r>
        <w:rPr>
          <w:rFonts w:ascii="Times New Roman" w:hAnsi="Times New Roman"/>
          <w:b w:val="0"/>
          <w:i w:val="0"/>
          <w:sz w:val="24"/>
        </w:rPr>
        <w:t xml:space="preserve"> Пунктом 4 статьи 965 ГК РФ установлено: «Если страхователь (выгодоприобретатель) отказался от своего права требования к лицу, ответственному за убытки, возмещенные страховщиком, или осуществление этого права стало невозможным по вине страхователя (выгодоприобретателя), страховщик освобождается от выплаты страхового возмещения полностью или в соответствующей части и вправе потребовать возврата излишне выплаченной суммы возмещения.» Страхователь [не предъявил претензию перевозчику в срок / принял груз без отметок о повреждениях / подписал с перевозчиком соглашение об отказе от претензий], поэтому страховщик освобождается от выплаты в соответствующей части.</w:t>
      </w:r>
    </w:p>
    <w:p>
      <w:pPr>
        <w:spacing w:after="120" w:line="276" w:lineRule="auto"/>
        <w:ind w:firstLine="709"/>
        <w:jc w:val="both"/>
      </w:pPr>
      <w:r>
        <w:rPr>
          <w:rFonts w:ascii="Times New Roman" w:hAnsi="Times New Roman"/>
          <w:b/>
          <w:i w:val="0"/>
          <w:sz w:val="24"/>
        </w:rPr>
        <w:t>Размер возмещения определён неверно.</w:t>
      </w:r>
      <w:r>
        <w:rPr>
          <w:rFonts w:ascii="Times New Roman" w:hAnsi="Times New Roman"/>
          <w:b w:val="0"/>
          <w:i w:val="0"/>
          <w:sz w:val="24"/>
        </w:rPr>
        <w:t xml:space="preserve"> Истец требует [стоимость груза по цене реализации / с упущенной выгодой], тогда как по договору страховая стоимость — [инвойсная стоимость + [__] %]; [применяется франшиза [сумма] рублей].</w:t>
      </w:r>
    </w:p>
    <w:p>
      <w:pPr>
        <w:spacing w:after="120" w:line="276" w:lineRule="auto"/>
        <w:ind w:firstLine="709"/>
        <w:jc w:val="both"/>
      </w:pPr>
      <w:r>
        <w:rPr>
          <w:rFonts w:ascii="Times New Roman" w:hAnsi="Times New Roman"/>
          <w:b/>
          <w:i w:val="0"/>
          <w:sz w:val="24"/>
        </w:rPr>
        <w:t>Размер ущерба подлежит определению судебной экспертизой.</w:t>
      </w:r>
      <w:r>
        <w:rPr>
          <w:rFonts w:ascii="Times New Roman" w:hAnsi="Times New Roman"/>
          <w:b w:val="0"/>
          <w:i w:val="0"/>
          <w:sz w:val="24"/>
        </w:rPr>
        <w:t xml:space="preserve"> Заключение, представленное истцом, [выполнено без вызова страховщика на осмотр / не учитывает износ / включает повреждения, не относящиеся к событию]. Ответчик ходатайствует о назначении судебной [автотехнической / товароведческой / оценочной] экспертизы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Пропущен специальный срок исковой давности по имущественному страхованию.</w:t>
      </w:r>
      <w:r>
        <w:rPr>
          <w:rFonts w:ascii="Times New Roman" w:hAnsi="Times New Roman"/>
          <w:b w:val="0"/>
          <w:i w:val="0"/>
          <w:sz w:val="24"/>
        </w:rPr>
        <w:t xml:space="preserve"> Пунктом 1 статьи 966 ГК РФ установлено: «Срок исковой давности по требованиям, вытекающим из договора имущественного страхования, за исключением договора страхования риска ответственности по обязательствам, возникающим вследствие причинения вреда жизни, здоровью или имуществу других лиц, составляет два года.» Страховой случай наступил «[дата]», об отказе в выплате [неполной выплате] истец узнал «[дата]», иск подан «[дата]». Пунктом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930, 943, 961, 965, 966 ГК РФ, статьями 65, 70, 71, 82, 131, 148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страхового возмещения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Генеральный полис, Правила страхования грузов, декларации (бордеро) к полису.</w:t>
      </w:r>
    </w:p>
    <w:p>
      <w:pPr>
        <w:spacing w:after="40" w:line="276" w:lineRule="auto"/>
        <w:jc w:val="left"/>
      </w:pPr>
      <w:r>
        <w:rPr>
          <w:rFonts w:ascii="Times New Roman" w:hAnsi="Times New Roman"/>
          <w:b w:val="0"/>
          <w:i w:val="0"/>
          <w:sz w:val="24"/>
        </w:rPr>
        <w:t>3. Документы о переходе риска (договор поставки, условия Incoterms).</w:t>
      </w:r>
    </w:p>
    <w:p>
      <w:pPr>
        <w:spacing w:after="40" w:line="276" w:lineRule="auto"/>
        <w:jc w:val="left"/>
      </w:pPr>
      <w:r>
        <w:rPr>
          <w:rFonts w:ascii="Times New Roman" w:hAnsi="Times New Roman"/>
          <w:b w:val="0"/>
          <w:i w:val="0"/>
          <w:sz w:val="24"/>
        </w:rPr>
        <w:t>4. Документы о действиях страхователя в отношении перевозчика (претензии, отметки при приёмке).</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Освобождение по п. 4 ст. 965 ГК РФ применяется, если страхователь по своей вине сделал суброгацию невозможной: соберите доказательства его бездействия в отношении перевозчика.</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