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добровольного страхования транспортного средства (КАСКО)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страхового возмещения по полису КАСКО от «[дата]» № [__] в связи с [повреждением / хищением] транспортного средства [марка, VIN] «[дата]» в размере [сумма] рублей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 и правил страхования.</w:t>
      </w:r>
      <w:r>
        <w:rPr>
          <w:rFonts w:ascii="Times New Roman" w:hAnsi="Times New Roman"/>
          <w:b w:val="0"/>
          <w:i w:val="0"/>
          <w:sz w:val="24"/>
        </w:rPr>
        <w:t xml:space="preserve"> Пунктом 2 статьи 943 ГК РФ установлено: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В полисе есть ссылка на Правила страхования [наименование, редакция от «[дата]»], которые страхователь получил (отметка в полисе). Пунктом [__] Правил [событие: управление лицом, не допущенным к управлению / хищение при оставлении ключей / повреждение при эксплуатации с нарушением правил / износ] исключено из страхового покрытия.</w:t>
      </w:r>
    </w:p>
    <w:p>
      <w:pPr>
        <w:spacing w:after="120" w:line="276" w:lineRule="auto"/>
        <w:ind w:firstLine="709"/>
        <w:jc w:val="both"/>
      </w:pPr>
      <w:r>
        <w:rPr>
          <w:rFonts w:ascii="Times New Roman" w:hAnsi="Times New Roman"/>
          <w:b/>
          <w:i w:val="0"/>
          <w:sz w:val="24"/>
        </w:rPr>
        <w:t>Страхователь несвоевременно уведомил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Пунктом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О событии «[дата]» страховщик узнал лишь «[дата]»; к этому моменту [имущество отремонтировано / остатки утилизированы], что лишило страховщика возможности установить обстоятельства и размер убытков.</w:t>
      </w:r>
    </w:p>
    <w:p>
      <w:pPr>
        <w:spacing w:after="120" w:line="276" w:lineRule="auto"/>
        <w:ind w:firstLine="709"/>
        <w:jc w:val="both"/>
      </w:pPr>
      <w:r>
        <w:rPr>
          <w:rFonts w:ascii="Times New Roman" w:hAnsi="Times New Roman"/>
          <w:b/>
          <w:i w:val="0"/>
          <w:sz w:val="24"/>
        </w:rPr>
        <w:t>Форма возмещения определена договором — ремонт на СТОА.</w:t>
      </w:r>
      <w:r>
        <w:rPr>
          <w:rFonts w:ascii="Times New Roman" w:hAnsi="Times New Roman"/>
          <w:b w:val="0"/>
          <w:i w:val="0"/>
          <w:sz w:val="24"/>
        </w:rPr>
        <w:t xml:space="preserve"> Полисом (пункт [__]) предусмотрено возмещение путём ремонта на станции технического обслуживания по направлению страховщика. Направление на ремонт выдано «[дата]» (получено истцом), однако истец автомобиль на СТОА не представил. Требование о выплате деньгами противоречит условиям договора, согласованным при его заключении (пункт 1 статьи 942 ГК РФ: «При заключении договора имущественного страхования между страхователем и страховщиком должно быть достигнуто соглашение:» «о характере события, на случай наступления которого осуществляется страхование (страхового случая)»).</w:t>
      </w:r>
    </w:p>
    <w:p>
      <w:pPr>
        <w:spacing w:after="120" w:line="276" w:lineRule="auto"/>
        <w:ind w:firstLine="709"/>
        <w:jc w:val="both"/>
      </w:pPr>
      <w:r>
        <w:rPr>
          <w:rFonts w:ascii="Times New Roman" w:hAnsi="Times New Roman"/>
          <w:b/>
          <w:i w:val="0"/>
          <w:sz w:val="24"/>
        </w:rPr>
        <w:t>Размер требования превышает условия договора.</w:t>
      </w:r>
      <w:r>
        <w:rPr>
          <w:rFonts w:ascii="Times New Roman" w:hAnsi="Times New Roman"/>
          <w:b w:val="0"/>
          <w:i w:val="0"/>
          <w:sz w:val="24"/>
        </w:rPr>
        <w:t xml:space="preserve"> Полисом установлены [безусловная франшиза [сумма] рублей / неагрегатная страховая сумма с уменьшением на износ [__] % в месяц / лимит по риску «стекло»]; истец этого не учёл. [При полной гибели — годные остатки истец оставил себе, их стоимость [сумма] рублей подлежит вычету.]</w:t>
      </w:r>
    </w:p>
    <w:p>
      <w:pPr>
        <w:spacing w:after="120" w:line="276" w:lineRule="auto"/>
        <w:ind w:firstLine="709"/>
        <w:jc w:val="both"/>
      </w:pPr>
      <w:r>
        <w:rPr>
          <w:rFonts w:ascii="Times New Roman" w:hAnsi="Times New Roman"/>
          <w:b/>
          <w:i w:val="0"/>
          <w:sz w:val="24"/>
        </w:rPr>
        <w:t>Утрата товарной стоимости не застрахована.</w:t>
      </w:r>
      <w:r>
        <w:rPr>
          <w:rFonts w:ascii="Times New Roman" w:hAnsi="Times New Roman"/>
          <w:b w:val="0"/>
          <w:i w:val="0"/>
          <w:sz w:val="24"/>
        </w:rPr>
        <w:t xml:space="preserve"> Риск утраты товарной стоимости [не включён в полис / исключён пунктом [__] Правил]; её взыскание противоречит условиям договора.</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Ответчик ходатайствует о назначении судебной [автотехнической / товароведческой /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специальный срок исковой давности по имущественному страхованию.</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Страховой случай наступил «[дата]», об отказе в выплате [неполной выплате] истец узнал «[дата]»,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942, 943, 961, 966 ГК РФ, статьями 65, 70, 71, 82,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страхового возмещения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автотехническую экспертизу по вопросам о соответствии повреждений обстоятельствам события и стоимости восстановительного ремонта.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Полис КАСКО и Правила страхования (с отметкой о получении страхователем).</w:t>
      </w:r>
    </w:p>
    <w:p>
      <w:pPr>
        <w:spacing w:after="40" w:line="276" w:lineRule="auto"/>
        <w:jc w:val="left"/>
      </w:pPr>
      <w:r>
        <w:rPr>
          <w:rFonts w:ascii="Times New Roman" w:hAnsi="Times New Roman"/>
          <w:b w:val="0"/>
          <w:i w:val="0"/>
          <w:sz w:val="24"/>
        </w:rPr>
        <w:t>3. Направление на ремонт на СТОА и доказательства его получения истцом.</w:t>
      </w:r>
    </w:p>
    <w:p>
      <w:pPr>
        <w:spacing w:after="40" w:line="276" w:lineRule="auto"/>
        <w:jc w:val="left"/>
      </w:pPr>
      <w:r>
        <w:rPr>
          <w:rFonts w:ascii="Times New Roman" w:hAnsi="Times New Roman"/>
          <w:b w:val="0"/>
          <w:i w:val="0"/>
          <w:sz w:val="24"/>
        </w:rPr>
        <w:t>4. Материалы урегулирования убытка (заявление, акт осмотра, переписка).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по договору имущественного страхования — два года (п. 1 ст. 966 ГК РФ), а не три.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