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страхового возмещения по договору страхования имущества и расходов на уменьшение убытков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страхового возмещения по договору страхования имущества от «[дата]» № [__] в связи с [пожаром / заливом / кражей] «[дата]» в размере [сумма] рублей и расходов на уменьшение убытков.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Событие не является страховым случаем по условиям договора и правил страхования.</w:t>
      </w:r>
      <w:r>
        <w:rPr>
          <w:rFonts w:ascii="Times New Roman" w:hAnsi="Times New Roman"/>
          <w:b w:val="0"/>
          <w:i w:val="0"/>
          <w:sz w:val="24"/>
        </w:rPr>
        <w:t xml:space="preserve"> Пунктом 2 статьи 943 ГК РФ установлено: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В полисе есть ссылка на Правила страхования [наименование, редакция от «[дата]»], которые страхователь получил (отметка в полисе). Пунктом [__] Правил [событие: кража без признаков взлома / залив из-за неисправности кровли, о которой страхователь знал / пожар вследствие нарушения правил противопожарной безопасности, выявленного ранее предписанием МЧС] исключено из страхового покрытия.</w:t>
      </w:r>
    </w:p>
    <w:p>
      <w:pPr>
        <w:spacing w:after="120" w:line="276" w:lineRule="auto"/>
        <w:ind w:firstLine="709"/>
        <w:jc w:val="both"/>
      </w:pPr>
      <w:r>
        <w:rPr>
          <w:rFonts w:ascii="Times New Roman" w:hAnsi="Times New Roman"/>
          <w:b/>
          <w:i w:val="0"/>
          <w:sz w:val="24"/>
        </w:rPr>
        <w:t>Неполное страхование: возмещение пропорционально.</w:t>
      </w:r>
      <w:r>
        <w:rPr>
          <w:rFonts w:ascii="Times New Roman" w:hAnsi="Times New Roman"/>
          <w:b w:val="0"/>
          <w:i w:val="0"/>
          <w:sz w:val="24"/>
        </w:rPr>
        <w:t xml:space="preserve"> Статьёй 949 ГК РФ установлено: «Если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 Имущество застраховано на [сумма] рублей при действительной стоимости [сумма] рублей (пункт 2 статьи 947 ГК РФ: «При страховании имущества или предпринимательского риска, если договором страхования не предусмотрено иное, страховая сумма не должна превышать их действительную стоимость (страховой стоимости). Такой стоимостью считается:» «для имущества его действительная стоимость в месте его нахождения в день заключения договора страхования»); возмещение — не более [__] % ущерба.</w:t>
      </w:r>
    </w:p>
    <w:p>
      <w:pPr>
        <w:spacing w:after="120" w:line="276" w:lineRule="auto"/>
        <w:ind w:firstLine="709"/>
        <w:jc w:val="both"/>
      </w:pPr>
      <w:r>
        <w:rPr>
          <w:rFonts w:ascii="Times New Roman" w:hAnsi="Times New Roman"/>
          <w:b/>
          <w:i w:val="0"/>
          <w:sz w:val="24"/>
        </w:rPr>
        <w:t>Расходы на уменьшение убытков не были необходимыми.</w:t>
      </w:r>
      <w:r>
        <w:rPr>
          <w:rFonts w:ascii="Times New Roman" w:hAnsi="Times New Roman"/>
          <w:b w:val="0"/>
          <w:i w:val="0"/>
          <w:sz w:val="24"/>
        </w:rPr>
        <w:t xml:space="preserve"> Пунктом 2 статьи 962 ГК РФ установлено: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 «Такие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 Заявленные расходы [на аренду временного склада, охрану, демонтаж] произведены [после устранения опасности / в интересах продолжения деятельности, а не уменьшения убытков].</w:t>
      </w:r>
    </w:p>
    <w:p>
      <w:pPr>
        <w:spacing w:after="120" w:line="276" w:lineRule="auto"/>
        <w:ind w:firstLine="709"/>
        <w:jc w:val="both"/>
      </w:pPr>
      <w:r>
        <w:rPr>
          <w:rFonts w:ascii="Times New Roman" w:hAnsi="Times New Roman"/>
          <w:b/>
          <w:i w:val="0"/>
          <w:sz w:val="24"/>
        </w:rPr>
        <w:t>Страхователь умышленно не принял мер к уменьшению убытков.</w:t>
      </w:r>
      <w:r>
        <w:rPr>
          <w:rFonts w:ascii="Times New Roman" w:hAnsi="Times New Roman"/>
          <w:b w:val="0"/>
          <w:i w:val="0"/>
          <w:sz w:val="24"/>
        </w:rPr>
        <w:t xml:space="preserve"> Пунктом 3 статьи 962 ГК РФ установлено: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 [Повреждённое имущество неделями оставалось под открытым небом / не была перекрыта вода после обнаружения залива.]</w:t>
      </w:r>
    </w:p>
    <w:p>
      <w:pPr>
        <w:spacing w:after="120" w:line="276" w:lineRule="auto"/>
        <w:ind w:firstLine="709"/>
        <w:jc w:val="both"/>
      </w:pPr>
      <w:r>
        <w:rPr>
          <w:rFonts w:ascii="Times New Roman" w:hAnsi="Times New Roman"/>
          <w:b/>
          <w:i w:val="0"/>
          <w:sz w:val="24"/>
        </w:rPr>
        <w:t>Объём и стоимость уничтоженного имущества не подтверждены.</w:t>
      </w:r>
      <w:r>
        <w:rPr>
          <w:rFonts w:ascii="Times New Roman" w:hAnsi="Times New Roman"/>
          <w:b w:val="0"/>
          <w:i w:val="0"/>
          <w:sz w:val="24"/>
        </w:rPr>
        <w:t xml:space="preserve"> Истец не представил [инвентаризационные описи до и после события, документы о приобретении, данные бухгалтерского учёта]; по краже — перечень похищенного противоречит протоколу осмотра места происшествия.</w:t>
      </w:r>
    </w:p>
    <w:p>
      <w:pPr>
        <w:spacing w:after="120" w:line="276" w:lineRule="auto"/>
        <w:ind w:firstLine="709"/>
        <w:jc w:val="both"/>
      </w:pPr>
      <w:r>
        <w:rPr>
          <w:rFonts w:ascii="Times New Roman" w:hAnsi="Times New Roman"/>
          <w:b/>
          <w:i w:val="0"/>
          <w:sz w:val="24"/>
        </w:rPr>
        <w:t>Размер ущерба подлежит определению судебной экспертизой.</w:t>
      </w:r>
      <w:r>
        <w:rPr>
          <w:rFonts w:ascii="Times New Roman" w:hAnsi="Times New Roman"/>
          <w:b w:val="0"/>
          <w:i w:val="0"/>
          <w:sz w:val="24"/>
        </w:rPr>
        <w:t xml:space="preserve"> Заключение, представленное истцом, [выполнено без вызова страховщика на осмотр / не учитывает износ / включает повреждения, не относящиеся к событию]. Ответчик ходатайствует о назначении судебной [автотехнической / товароведческой / оценочной]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специальный срок исковой давности по имущественному страхованию.</w:t>
      </w:r>
      <w:r>
        <w:rPr>
          <w:rFonts w:ascii="Times New Roman" w:hAnsi="Times New Roman"/>
          <w:b w:val="0"/>
          <w:i w:val="0"/>
          <w:sz w:val="24"/>
        </w:rPr>
        <w:t xml:space="preserve"> Пунктом 1 статьи 966 ГК РФ установлено: «Срок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 Страховой случай наступил «[дата]», об отказе в выплате [неполной выплате] истец узнал «[дата]»,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943, 947, 949, 962, 966 ГК РФ, статьями 65, 70, 71, 82,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страхового возмещения и расходов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оценочную (товароведческую) экспертизу размера ущерба.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страхования, Правила страхования, документы о страховой стоимости имущества.</w:t>
      </w:r>
    </w:p>
    <w:p>
      <w:pPr>
        <w:spacing w:after="40" w:line="276" w:lineRule="auto"/>
        <w:jc w:val="left"/>
      </w:pPr>
      <w:r>
        <w:rPr>
          <w:rFonts w:ascii="Times New Roman" w:hAnsi="Times New Roman"/>
          <w:b w:val="0"/>
          <w:i w:val="0"/>
          <w:sz w:val="24"/>
        </w:rPr>
        <w:t>3. Документы МЧС (полиции) о причинах события, ранее выданные предписания.</w:t>
      </w:r>
    </w:p>
    <w:p>
      <w:pPr>
        <w:spacing w:after="40" w:line="276" w:lineRule="auto"/>
        <w:jc w:val="left"/>
      </w:pPr>
      <w:r>
        <w:rPr>
          <w:rFonts w:ascii="Times New Roman" w:hAnsi="Times New Roman"/>
          <w:b w:val="0"/>
          <w:i w:val="0"/>
          <w:sz w:val="24"/>
        </w:rPr>
        <w:t>4. Акт осмотра страховщика, переписка по урегулированию убытка.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Правило пропорциональной выплаты при неполном страховании (ст. 949 ГК РФ) действует, если договором не предусмотрено иное: проверьте условие «по первому риску» в полисе.</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