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бенефициар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гарант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суммы по независимой гарантии и неустойки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суммы по независимой (банковской) гарантии от «[дата]» № [__] в размере [сумма] рублей и неустойки за просрочку её выплаты.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Требование не соответствовало условиям гарантии.</w:t>
      </w:r>
      <w:r>
        <w:rPr>
          <w:rFonts w:ascii="Times New Roman" w:hAnsi="Times New Roman"/>
          <w:b w:val="0"/>
          <w:i w:val="0"/>
          <w:sz w:val="24"/>
        </w:rPr>
        <w:t xml:space="preserve"> Пунктом 1 статьи 376 ГК РФ установлено: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пунктом 2 статьи 375 настоящего Кодекса, указав причину отказа.» [В требовании не указано, в чём состоит нарушение принципалом основного обязательства / не приложены документы, предусмотренные пунктом [__] гарантии (расчёт, копия платёжного поручения об авансе, доверенность подписанта) / сумма требования превышает сумму гарантии с учётом её уменьшения].</w:t>
      </w:r>
    </w:p>
    <w:p>
      <w:pPr>
        <w:spacing w:after="120" w:line="276" w:lineRule="auto"/>
        <w:ind w:firstLine="709"/>
        <w:jc w:val="both"/>
      </w:pPr>
      <w:r>
        <w:rPr>
          <w:rFonts w:ascii="Times New Roman" w:hAnsi="Times New Roman"/>
          <w:b/>
          <w:i w:val="0"/>
          <w:sz w:val="24"/>
        </w:rPr>
        <w:t>Требование представлено после окончания срока действия гарантии.</w:t>
      </w:r>
      <w:r>
        <w:rPr>
          <w:rFonts w:ascii="Times New Roman" w:hAnsi="Times New Roman"/>
          <w:b w:val="0"/>
          <w:i w:val="0"/>
          <w:sz w:val="24"/>
        </w:rPr>
        <w:t xml:space="preserve"> Пунктом 2 статьи 374 ГК РФ установлено: «Требование бенефициара должно быть представлено гаранту до окончания срока действия независимой гарантии.» Гарантия действовала до «[дата]»; требование поступило гаранту «[дата]» [почтовый идентификатор, входящий номер]. Отправка требования в последний день срока не означает его представления.</w:t>
      </w:r>
    </w:p>
    <w:p>
      <w:pPr>
        <w:spacing w:after="120" w:line="276" w:lineRule="auto"/>
        <w:ind w:firstLine="709"/>
        <w:jc w:val="both"/>
      </w:pPr>
      <w:r>
        <w:rPr>
          <w:rFonts w:ascii="Times New Roman" w:hAnsi="Times New Roman"/>
          <w:b/>
          <w:i w:val="0"/>
          <w:sz w:val="24"/>
        </w:rPr>
        <w:t>Гарант действовал в пределах своих обязанностей.</w:t>
      </w:r>
      <w:r>
        <w:rPr>
          <w:rFonts w:ascii="Times New Roman" w:hAnsi="Times New Roman"/>
          <w:b w:val="0"/>
          <w:i w:val="0"/>
          <w:sz w:val="24"/>
        </w:rPr>
        <w:t xml:space="preserve"> Пунктом 3 статьи 375 ГК РФ установлено: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 Гарант проверил требование в пятидневный срок (пункт 2 статьи 375 ГК РФ: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 и направил мотивированный отказ «[дата]» с перечнем несоответствий.</w:t>
      </w:r>
    </w:p>
    <w:p>
      <w:pPr>
        <w:spacing w:after="120" w:line="276" w:lineRule="auto"/>
        <w:ind w:firstLine="709"/>
        <w:jc w:val="both"/>
      </w:pPr>
      <w:r>
        <w:rPr>
          <w:rFonts w:ascii="Times New Roman" w:hAnsi="Times New Roman"/>
          <w:b/>
          <w:i w:val="0"/>
          <w:sz w:val="24"/>
        </w:rPr>
        <w:t>[Если платёж приостанавливался:] Приостановление было обоснованным.</w:t>
      </w:r>
      <w:r>
        <w:rPr>
          <w:rFonts w:ascii="Times New Roman" w:hAnsi="Times New Roman"/>
          <w:b w:val="0"/>
          <w:i w:val="0"/>
          <w:sz w:val="24"/>
        </w:rPr>
        <w:t xml:space="preserve"> Пунктом 2 статьи 376 ГК РФ гарант вправе приостановить платёж до семи дней, если имеет разумные основания полагать, что: «какой-либо из представленных ему документов является недостоверным» «исполнение по основному обязательству принципала принято бенефициаром без каких-либо возражений.» [Документы содержали признаки подделки / принципал представил доказательства исполнения, принятого бенефициаром без возражений.]</w:t>
      </w:r>
    </w:p>
    <w:p>
      <w:pPr>
        <w:spacing w:after="120" w:line="276" w:lineRule="auto"/>
        <w:ind w:firstLine="709"/>
        <w:jc w:val="both"/>
      </w:pPr>
      <w:r>
        <w:rPr>
          <w:rFonts w:ascii="Times New Roman" w:hAnsi="Times New Roman"/>
          <w:b/>
          <w:i w:val="0"/>
          <w:sz w:val="24"/>
        </w:rPr>
        <w:t>Неустойка начислена неверно.</w:t>
      </w:r>
      <w:r>
        <w:rPr>
          <w:rFonts w:ascii="Times New Roman" w:hAnsi="Times New Roman"/>
          <w:b w:val="0"/>
          <w:i w:val="0"/>
          <w:sz w:val="24"/>
        </w:rPr>
        <w:t xml:space="preserve"> Пунктом 2 статьи 377 ГК РФ установлено: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 Срок выплаты, если бы требование было надлежащим, истёк бы «[дата]»; [условие гарантии ограничивает неустойку].</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гарантии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333, 374, 375, 376, 377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суммы по независимой гарантии и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Текст независимой гарантии с изменениями.</w:t>
      </w:r>
    </w:p>
    <w:p>
      <w:pPr>
        <w:spacing w:after="40" w:line="276" w:lineRule="auto"/>
        <w:jc w:val="left"/>
      </w:pPr>
      <w:r>
        <w:rPr>
          <w:rFonts w:ascii="Times New Roman" w:hAnsi="Times New Roman"/>
          <w:b w:val="0"/>
          <w:i w:val="0"/>
          <w:sz w:val="24"/>
        </w:rPr>
        <w:t>3. Требование бенефициара с приложениями и доказательства даты его поступления гаранту.</w:t>
      </w:r>
    </w:p>
    <w:p>
      <w:pPr>
        <w:spacing w:after="40" w:line="276" w:lineRule="auto"/>
        <w:jc w:val="left"/>
      </w:pPr>
      <w:r>
        <w:rPr>
          <w:rFonts w:ascii="Times New Roman" w:hAnsi="Times New Roman"/>
          <w:b w:val="0"/>
          <w:i w:val="0"/>
          <w:sz w:val="24"/>
        </w:rPr>
        <w:t>4. Мотивированный отказ (уведомление о приостановлении платежа) и доказательства его направления.</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Гарант не вправе ссылаться на возражения из основного обязательства (п. 2 ст. 370 ГК РФ), поэтому защита строится только на несоответствии требования условиям гарантии, сроке её действия и злоупотреблении бенефициара.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