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арендатор</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арендодатель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убытков, возврате арендной платы за период препятствий в пользовании помещением</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убытков в размере [сумма] рублей и возврате арендной платы за период с «[дата]» по «[дата]» в размере [сумма] рублей в связи с [отключением электроснабжения / недопуском в помещение / сменой замков].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Ограничение доступа [отключение] было правомерным.</w:t>
      </w:r>
      <w:r>
        <w:rPr>
          <w:rFonts w:ascii="Times New Roman" w:hAnsi="Times New Roman"/>
          <w:b w:val="0"/>
          <w:i w:val="0"/>
          <w:sz w:val="24"/>
        </w:rPr>
        <w:t xml:space="preserve"> Пунктом [__] Договора арендодателю предоставлено право [приостановить доступ / ограничить подачу коммунальных ресурсов] при просрочке арендной платы более чем на [__] дней после письменного предупреждения. Предупреждение направлено «[дата]», задолженность [сумма] рублей не погашена. Статьёй 328 ГК РФ допускается приостановление встречного исполнения при неисполнении обязательства другой стороной, а пунктом 2 статьи 310 ГК РФ установлено: «Одностороннее изменение условий обязательства, связанного с осуществлением всеми его сторонами предпринимательской деятельности, или односторонний отказ от исполнения этого обязательства допускается в случаях, предусмотренных настоящим Кодексом, другими законами, иными правовыми актами или договором.»</w:t>
      </w:r>
    </w:p>
    <w:p>
      <w:pPr>
        <w:spacing w:after="120" w:line="276" w:lineRule="auto"/>
        <w:ind w:firstLine="709"/>
        <w:jc w:val="both"/>
      </w:pPr>
      <w:r>
        <w:rPr>
          <w:rFonts w:ascii="Times New Roman" w:hAnsi="Times New Roman"/>
          <w:b/>
          <w:i w:val="0"/>
          <w:sz w:val="24"/>
        </w:rPr>
        <w:t>Препятствия созданы не арендодателем.</w:t>
      </w:r>
      <w:r>
        <w:rPr>
          <w:rFonts w:ascii="Times New Roman" w:hAnsi="Times New Roman"/>
          <w:b w:val="0"/>
          <w:i w:val="0"/>
          <w:sz w:val="24"/>
        </w:rPr>
        <w:t xml:space="preserve"> Отключение [электроснабжения] произведено [сетевой организацией за долги арендатора по прямому договору / в связи с аварией, устранённой за [__] часов]; доступ ограничивался [управляющей компанией здания на время ремонта лифтов] — вины арендодателя нет (пункт 2 статьи 401 ГК РФ: «Отсутствие вины доказывается лицом, нарушившим обязательство.»).</w:t>
      </w:r>
    </w:p>
    <w:p>
      <w:pPr>
        <w:spacing w:after="120" w:line="276" w:lineRule="auto"/>
        <w:ind w:firstLine="709"/>
        <w:jc w:val="both"/>
      </w:pPr>
      <w:r>
        <w:rPr>
          <w:rFonts w:ascii="Times New Roman" w:hAnsi="Times New Roman"/>
          <w:b/>
          <w:i w:val="0"/>
          <w:sz w:val="24"/>
        </w:rPr>
        <w:t>Период и масштаб препятствий преувеличены.</w:t>
      </w:r>
      <w:r>
        <w:rPr>
          <w:rFonts w:ascii="Times New Roman" w:hAnsi="Times New Roman"/>
          <w:b w:val="0"/>
          <w:i w:val="0"/>
          <w:sz w:val="24"/>
        </w:rPr>
        <w:t xml:space="preserve"> Арендатор продолжал пользоваться помещением [журнал охраны, показания приборов учёта, данные ККТ]; ограничение действовало [__] дней, а не весь заявленный период, и касалось [части помещения].</w:t>
      </w:r>
    </w:p>
    <w:p>
      <w:pPr>
        <w:spacing w:after="120" w:line="276" w:lineRule="auto"/>
        <w:ind w:firstLine="709"/>
        <w:jc w:val="both"/>
      </w:pPr>
      <w:r>
        <w:rPr>
          <w:rFonts w:ascii="Times New Roman" w:hAnsi="Times New Roman"/>
          <w:b/>
          <w:i w:val="0"/>
          <w:sz w:val="24"/>
        </w:rPr>
        <w:t>Убытки не доказаны.</w:t>
      </w:r>
      <w:r>
        <w:rPr>
          <w:rFonts w:ascii="Times New Roman" w:hAnsi="Times New Roman"/>
          <w:b w:val="0"/>
          <w:i w:val="0"/>
          <w:sz w:val="24"/>
        </w:rPr>
        <w:t xml:space="preserve"> Пунктом 2 статьи 15 ГК РФ под убытками понимаются: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Пунктом 4 статьи 393 ГК РФ предусмотрено: «При определении упущенной выгоды учитываются предпринятые кредитором для ее получения меры и сделанные с этой целью приготовления.» Истец заявляет упущенную выгоду исходя из [средней выручки за прошлые периоды] без учёта сезонности, расходов и того, что деятельность [не прекращалась / велась в другой точке]. Причинная связь с действиями арендодателя не подтверждена.</w:t>
      </w:r>
    </w:p>
    <w:p>
      <w:pPr>
        <w:spacing w:after="120" w:line="276" w:lineRule="auto"/>
        <w:ind w:firstLine="709"/>
        <w:jc w:val="both"/>
      </w:pPr>
      <w:r>
        <w:rPr>
          <w:rFonts w:ascii="Times New Roman" w:hAnsi="Times New Roman"/>
          <w:b/>
          <w:i w:val="0"/>
          <w:sz w:val="24"/>
        </w:rPr>
        <w:t>Арендатор не принял мер к уменьшению убытков.</w:t>
      </w:r>
      <w:r>
        <w:rPr>
          <w:rFonts w:ascii="Times New Roman" w:hAnsi="Times New Roman"/>
          <w:b w:val="0"/>
          <w:i w:val="0"/>
          <w:sz w:val="24"/>
        </w:rPr>
        <w:t xml:space="preserve"> Пунктом 1 статьи 404 ГК РФ установлено: «Если неисполнение или ненадлежащее исполнение обязательства произошло по вине обеих сторон, суд соответственно уменьшает размер ответственности должника. Суд также вправе уменьшить размер ответственности должника, если кредитор умышленно или по неосторожности содействовал увеличению размера убытков, причиненных неисполнением или ненадлежащим исполнением, либо не принял разумных мер к их уменьшению.» Арендатор мог [погасить долг и восстановить доступ на следующий день / перенести товар в другое помещение], но не сделал этого.</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[Если претензия не направлялась или иск подан раньше срока:] Претензионный порядок не соблюдён.</w:t>
      </w:r>
      <w:r>
        <w:rPr>
          <w:rFonts w:ascii="Times New Roman" w:hAnsi="Times New Roman"/>
          <w:b w:val="0"/>
          <w:i w:val="0"/>
          <w:sz w:val="24"/>
        </w:rPr>
        <w:t xml:space="preserve"> Частью 5 статьи 4 АПК РФ установлено: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Истец [претензию не направлял / направил её не по адресу из ЕГРЮЛ или договора / обратился в суд до истечения тридцати дней (иного срока по договору) / в претензии заявил иные требования, чем в иске]. В силу пункта 2 части 1 статьи 148 АПК РФ арбитражный суд оставляет исковое заявление без рассмотрения, если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 Ответчик ходатайствует об оставлении иска без рассмотрения. [Если претензионный порядок соблюдён — удалите этот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310, 328, 393, 401, 404, 611 ГК РФ, статьями 65, 70, 71,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взыскании убытков и возврате арендной платы к [наименование ответчика] в полном объёме.</w:t>
      </w:r>
    </w:p>
    <w:p>
      <w:pPr>
        <w:spacing w:after="120" w:line="276" w:lineRule="auto"/>
        <w:ind w:firstLine="709"/>
        <w:jc w:val="both"/>
      </w:pPr>
      <w:r>
        <w:rPr>
          <w:rFonts w:ascii="Times New Roman" w:hAnsi="Times New Roman"/>
          <w:b w:val="0"/>
          <w:i w:val="0"/>
          <w:sz w:val="24"/>
        </w:rPr>
        <w:t>2.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Договор аренды (условие о праве ограничить доступ при просрочке), предупреждение арендатору.</w:t>
      </w:r>
    </w:p>
    <w:p>
      <w:pPr>
        <w:spacing w:after="40" w:line="276" w:lineRule="auto"/>
        <w:jc w:val="left"/>
      </w:pPr>
      <w:r>
        <w:rPr>
          <w:rFonts w:ascii="Times New Roman" w:hAnsi="Times New Roman"/>
          <w:b w:val="0"/>
          <w:i w:val="0"/>
          <w:sz w:val="24"/>
        </w:rPr>
        <w:t>3. Расчёт задолженности арендатора на дату ограничения.</w:t>
      </w:r>
    </w:p>
    <w:p>
      <w:pPr>
        <w:spacing w:after="40" w:line="276" w:lineRule="auto"/>
        <w:jc w:val="left"/>
      </w:pPr>
      <w:r>
        <w:rPr>
          <w:rFonts w:ascii="Times New Roman" w:hAnsi="Times New Roman"/>
          <w:b w:val="0"/>
          <w:i w:val="0"/>
          <w:sz w:val="24"/>
        </w:rPr>
        <w:t>4. Документы сетевой (управляющей) организации о причинах отключения, акты о сроках устранения аварии.</w:t>
      </w:r>
    </w:p>
    <w:p>
      <w:pPr>
        <w:spacing w:after="40" w:line="276" w:lineRule="auto"/>
        <w:jc w:val="left"/>
      </w:pPr>
      <w:r>
        <w:rPr>
          <w:rFonts w:ascii="Times New Roman" w:hAnsi="Times New Roman"/>
          <w:b w:val="0"/>
          <w:i w:val="0"/>
          <w:sz w:val="24"/>
        </w:rPr>
        <w:t>5. Доказательства продолжения арендатором деятельности в спорный период.</w:t>
      </w:r>
    </w:p>
    <w:p>
      <w:pPr>
        <w:spacing w:after="40" w:line="276" w:lineRule="auto"/>
        <w:jc w:val="left"/>
      </w:pPr>
      <w:r>
        <w:rPr>
          <w:rFonts w:ascii="Times New Roman" w:hAnsi="Times New Roman"/>
          <w:b w:val="0"/>
          <w:i w:val="0"/>
          <w:sz w:val="24"/>
        </w:rPr>
        <w:t>6.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7.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Самовольное отключение или смена замков без договорного основания суды признают нарушением прав арендатора. Если права на такие меры в договоре нет, сосредоточьтесь на размере убытков и поведении арендатора.</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О пропуске исковой давности заявляйте в первой инстанции до решения (п. 2 ст. 199 ГК РФ).</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