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мирового судьи судебного участка № __]</w:t>
      </w:r>
      <w:r>
        <w:rPr>
          <w:rFonts w:ascii="Times New Roman" w:hAnsi="Times New Roman"/>
          <w:b w:val="0"/>
          <w:i w:val="0"/>
          <w:sz w:val="24"/>
        </w:rPr>
        <w:br/>
        <w:t>[адрес суда]</w:t>
      </w:r>
      <w:r>
        <w:rPr>
          <w:rFonts w:ascii="Times New Roman" w:hAnsi="Times New Roman"/>
          <w:b w:val="0"/>
          <w:i w:val="0"/>
          <w:sz w:val="24"/>
        </w:rPr>
        <w:br/>
        <w:t>Дело № [номер дела]</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потерпевший</w:t>
      </w:r>
      <w:r>
        <w:rPr>
          <w:rFonts w:ascii="Times New Roman" w:hAnsi="Times New Roman"/>
          <w:b w:val="0"/>
          <w:i w:val="0"/>
          <w:sz w:val="24"/>
        </w:rPr>
        <w:br/>
        <w:t>[Ф. И. О.]</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причинитель вреда (водитель / владелец ТС)</w:t>
      </w:r>
      <w:r>
        <w:rPr>
          <w:rFonts w:ascii="Times New Roman" w:hAnsi="Times New Roman"/>
          <w:b w:val="0"/>
          <w:i w:val="0"/>
          <w:sz w:val="24"/>
        </w:rPr>
        <w:br/>
        <w:t>[Ф. И. О.]</w:t>
      </w:r>
      <w:r>
        <w:rPr>
          <w:rFonts w:ascii="Times New Roman" w:hAnsi="Times New Roman"/>
          <w:b w:val="0"/>
          <w:i w:val="0"/>
          <w:sz w:val="24"/>
        </w:rPr>
        <w:br/>
        <w:t>адрес: [место жительства]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Третье лицо: </w:t>
      </w:r>
      <w:r>
        <w:rPr>
          <w:rFonts w:ascii="Times New Roman" w:hAnsi="Times New Roman"/>
          <w:b w:val="0"/>
          <w:i w:val="0"/>
          <w:sz w:val="24"/>
        </w:rPr>
        <w:t>страховщик по ОСАГО [наименование]</w:t>
      </w:r>
      <w:r>
        <w:rPr>
          <w:rFonts w:ascii="Times New Roman" w:hAnsi="Times New Roman"/>
          <w:b w:val="0"/>
          <w:i w:val="0"/>
          <w:sz w:val="24"/>
        </w:rPr>
        <w:br/>
        <w:t>адрес: [адрес]</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ущерба, причинённого в ДТП, сверх страхового возмещения по ОСАГО</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суда находится гражданское дело № [номер] по исковому заявлению [Ф. И. О. истца] к [Ф. И. О. ответчика] о взыскании разницы между фактическим размером ущерба [сумма] рублей и страховым возмещением [сумма] рублей по ДТП «[дата]», расходов на оценку и эвакуацию. Копию искового заявления с приложениями ответчик получил «[дата]». Ответчик исковые требования не признаёт [в полном объёме / в части: указать] по основаниям, изложенным ниже. Отзыв представляется в порядке статьи 149 Гражданского процессуального кодекса Российской Федерации (далее — ГПК РФ), по которой ответчик при подготовке дела представляет истцу и суду письменные возражения и доказательства в их обоснование.</w:t>
      </w:r>
    </w:p>
    <w:p>
      <w:pPr>
        <w:spacing w:after="120" w:line="276" w:lineRule="auto"/>
        <w:ind w:firstLine="709"/>
        <w:jc w:val="both"/>
      </w:pPr>
      <w:r>
        <w:rPr>
          <w:rFonts w:ascii="Times New Roman" w:hAnsi="Times New Roman"/>
          <w:b/>
          <w:i w:val="0"/>
          <w:sz w:val="24"/>
        </w:rPr>
        <w:t>Обязанность доказать основания иска лежит на истце.</w:t>
      </w:r>
      <w:r>
        <w:rPr>
          <w:rFonts w:ascii="Times New Roman" w:hAnsi="Times New Roman"/>
          <w:b w:val="0"/>
          <w:i w:val="0"/>
          <w:sz w:val="24"/>
        </w:rPr>
        <w:t xml:space="preserve"> В силу части 1 статьи 12 ГПК РФ «Правосудие по гражданским делам осуществляется на основе состязательности и равноправия сторон.»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Таким образом, не ответчик должен опровергать иск, а истец — доказать каждое обстоятельство, на котором основаны его требования. Сомнения и пробелы в доказательствах истца толкуются не в его пользу.</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Причинитель отвечает лишь в части, не покрытой страховым возмещением, определённым по закону.</w:t>
      </w:r>
      <w:r>
        <w:rPr>
          <w:rFonts w:ascii="Times New Roman" w:hAnsi="Times New Roman"/>
          <w:b w:val="0"/>
          <w:i w:val="0"/>
          <w:sz w:val="24"/>
        </w:rPr>
        <w:t xml:space="preserve"> Статьёй 1072 Гражданского кодекса Российской Федерации (далее — ГК РФ) установлено: «Юридическое лицо или гражданин, застраховавшие свою ответственность в порядке добровольного или обязательного страхования в пользу потерпевшего (статья 931, пункт 1 статьи 935), в случае, когда страховое возмещение недостаточно для того, чтобы полностью возместить причиненный вред, возмещают разницу между страховым возмещением и фактическим размером ущерба.» Разница определяется между фактическим ущербом и тем страховым возмещением, которое страховщик должен был выплатить по Единой методике с учётом износа, а не фактически выплаченной суммой. [Истец заключил со страховщиком соглашение о выплате [сумма] рублей вместо ремонта на СТОА, добровольно уменьшив возмещение; разница между надлежащим страховым возмещением и выплатой не может быть взыскана с ответчика.]</w:t>
      </w:r>
    </w:p>
    <w:p>
      <w:pPr>
        <w:spacing w:after="120" w:line="276" w:lineRule="auto"/>
        <w:ind w:firstLine="709"/>
        <w:jc w:val="both"/>
      </w:pPr>
      <w:r>
        <w:rPr>
          <w:rFonts w:ascii="Times New Roman" w:hAnsi="Times New Roman"/>
          <w:b/>
          <w:i w:val="0"/>
          <w:sz w:val="24"/>
        </w:rPr>
        <w:t>[Если истец не воспользовался ремонтом по ОСАГО:] Истец лишил себя права на полное возмещение за счёт страховщика.</w:t>
      </w:r>
      <w:r>
        <w:rPr>
          <w:rFonts w:ascii="Times New Roman" w:hAnsi="Times New Roman"/>
          <w:b w:val="0"/>
          <w:i w:val="0"/>
          <w:sz w:val="24"/>
        </w:rPr>
        <w:t xml:space="preserve"> При натуральной форме возмещения (ремонт на СТОА) износ не учитывается; отказ истца от ремонта и согласие на выплату с износом не может перекладывать разницу на ответчика.</w:t>
      </w:r>
    </w:p>
    <w:p>
      <w:pPr>
        <w:spacing w:after="120" w:line="276" w:lineRule="auto"/>
        <w:ind w:firstLine="709"/>
        <w:jc w:val="both"/>
      </w:pPr>
      <w:r>
        <w:rPr>
          <w:rFonts w:ascii="Times New Roman" w:hAnsi="Times New Roman"/>
          <w:b/>
          <w:i w:val="0"/>
          <w:sz w:val="24"/>
        </w:rPr>
        <w:t>Вина в ДТП обоюдная [или отсутствует].</w:t>
      </w:r>
      <w:r>
        <w:rPr>
          <w:rFonts w:ascii="Times New Roman" w:hAnsi="Times New Roman"/>
          <w:b w:val="0"/>
          <w:i w:val="0"/>
          <w:sz w:val="24"/>
        </w:rPr>
        <w:t xml:space="preserve"> Пунктом 3 статьи 1079 ГК РФ: «Владельцы источников повышенной опасности солидарно несут ответственность за вред, причиненный в результате взаимодействия этих источников (столкновения транспортных средств и т.п.) третьим лицам по основаниям, предусмотренным пунктом 1 настоящей статьи.» «Вред, причиненный в результате взаимодействия источников повышенной опасности их владельцам, возмещается на общих основаниях (статья 1064).» [Истец нарушил пункт [__] ПДД (превысил скорость, не уступил дорогу), что подтверждается [видеозаписью, схемой]. Степень вины ответчика — не более [__] %.] Ответчик ходатайствует о назначении автотехнической экспертизы для определения механизма ДТП и соответствия действий водителей ПДД.</w:t>
      </w:r>
    </w:p>
    <w:p>
      <w:pPr>
        <w:spacing w:after="120" w:line="276" w:lineRule="auto"/>
        <w:ind w:firstLine="709"/>
        <w:jc w:val="both"/>
      </w:pPr>
      <w:r>
        <w:rPr>
          <w:rFonts w:ascii="Times New Roman" w:hAnsi="Times New Roman"/>
          <w:b/>
          <w:i w:val="0"/>
          <w:sz w:val="24"/>
        </w:rPr>
        <w:t>Фактический размер ущерба завышен.</w:t>
      </w:r>
      <w:r>
        <w:rPr>
          <w:rFonts w:ascii="Times New Roman" w:hAnsi="Times New Roman"/>
          <w:b w:val="0"/>
          <w:i w:val="0"/>
          <w:sz w:val="24"/>
        </w:rPr>
        <w:t xml:space="preserve"> [Существует более разумный и распространённый способ исправления повреждений — ремонт с использованием сертифицированных неоригинальных или контрактных запчастей; автомобилю [__] лет, гарантия изготовителя истекла.] Заключение, представленное истцом, [выполнено без извещения ответчика об осмотре / включает повреждения, не связанные с событием / рассчитано по завышенным ценам]. Частью 1 статьи 79 ГПК РФ установлено: «При возникновении в процессе рассмотрения дела вопросов, требующих специальных знаний в различных областях науки, техники, искусства, ремесла, суд назначает экспертизу. Проведение экспертизы может быть поручено судебно-экспертному учреждению, конкретному эксперту или нескольким экспертам.» Ответчик просит назначить судебную экспертизу о механизме образования повреждений, их относимости к событию и стоимости восстановления.</w:t>
      </w:r>
    </w:p>
    <w:p>
      <w:pPr>
        <w:spacing w:after="120" w:line="276" w:lineRule="auto"/>
        <w:ind w:firstLine="709"/>
        <w:jc w:val="both"/>
      </w:pPr>
      <w:r>
        <w:rPr>
          <w:rFonts w:ascii="Times New Roman" w:hAnsi="Times New Roman"/>
          <w:b/>
          <w:i w:val="0"/>
          <w:sz w:val="24"/>
        </w:rPr>
        <w:t>[Если ответчик не являлся владельцем:]</w:t>
      </w:r>
      <w:r>
        <w:rPr>
          <w:rFonts w:ascii="Times New Roman" w:hAnsi="Times New Roman"/>
          <w:b w:val="0"/>
          <w:i w:val="0"/>
          <w:sz w:val="24"/>
        </w:rPr>
        <w:t xml:space="preserve"> Пунктом 1 статьи 1079 ГК РФ обязанность возмещения возлагается на владельца источника повышенной опасности («Обязанность возмещения вреда возлагается на юридическое лицо или гражданина, которые владеют источником повышенной опасности на праве собственности, праве хозяйственного ведения или праве оперативного управления либо на ином законном основании (на праве аренды, по доверенности на право управления транспортным средством, в силу распоряжения соответствующего органа о передаче ему источника повышенной опасности и т.п.).»); ответчик управлял автомобилем [по трудовому договору / без законных оснований], владельцем является [Ф. И. О. / организация] (статья 1068 ГК РФ).</w:t>
      </w:r>
    </w:p>
    <w:p>
      <w:pPr>
        <w:spacing w:after="120" w:line="276" w:lineRule="auto"/>
        <w:ind w:firstLine="709"/>
        <w:jc w:val="both"/>
      </w:pPr>
      <w:r>
        <w:rPr>
          <w:rFonts w:ascii="Times New Roman" w:hAnsi="Times New Roman"/>
          <w:b/>
          <w:i w:val="0"/>
          <w:sz w:val="24"/>
        </w:rPr>
        <w:t>Имущественное положение ответчика.</w:t>
      </w:r>
      <w:r>
        <w:rPr>
          <w:rFonts w:ascii="Times New Roman" w:hAnsi="Times New Roman"/>
          <w:b w:val="0"/>
          <w:i w:val="0"/>
          <w:sz w:val="24"/>
        </w:rPr>
        <w:t xml:space="preserve"> Пунктом 3 статьи 1083 ГК РФ установлено: «Суд может уменьшить размер возмещения вреда, причиненного гражданином, с учетом его имущественного положения, за исключением случаев, когда вред причинен действиями, совершенными умышленно.» Ответчик [пенсионер / имеет доход [сумма] рублей, на иждивении — [дети], кредитные обязательства]; вред причинён неумышленно. Ответчик просит уменьшить размер возмещения с учётом его имущественного положения.</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Поскольку требования истца не подлежат удовлетворению, оснований для возмещения ему судебных расходов нет; напротив, расходы ответчика подлежат взысканию с истца.</w:t>
      </w:r>
    </w:p>
    <w:p>
      <w:pPr>
        <w:spacing w:after="120" w:line="276" w:lineRule="auto"/>
        <w:ind w:firstLine="709"/>
        <w:jc w:val="both"/>
      </w:pPr>
      <w:r>
        <w:rPr>
          <w:rFonts w:ascii="Times New Roman" w:hAnsi="Times New Roman"/>
          <w:b w:val="0"/>
          <w:i w:val="0"/>
          <w:sz w:val="24"/>
        </w:rPr>
        <w:t>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Заявленные истцом расходы на представителя в сумме [сумма] рублей [чрезмерны: дело несложное, по нему проведено [__] заседание(-я), объём документов небольшой, стоимость не соответствует ценам на аналогичные услуги в регионе / не подтверждены: нет акта выполненных работ и доказательств оплаты]. При частичном удовлетворении иска расходы подлежат распределению пропорционально удовлетворённой части (часть 1 статьи 98 ГПК РФ). Ответчик понёс расходы на представителя в размере [сумма] рублей (договор от «[дата]», квитанция) и просит взыскать их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1064, 1072, 1079, 1083 ГК РФ, статьями 12, 56, 79, 149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[Ф. И. О. истца] в удовлетворении исковых требований о взыскании ущерба сверх страхового возмещения к [Ф. И. О. ответчика] в полном объёме.</w:t>
      </w:r>
    </w:p>
    <w:p>
      <w:pPr>
        <w:spacing w:after="120" w:line="276" w:lineRule="auto"/>
        <w:ind w:firstLine="709"/>
        <w:jc w:val="both"/>
      </w:pPr>
      <w:r>
        <w:rPr>
          <w:rFonts w:ascii="Times New Roman" w:hAnsi="Times New Roman"/>
          <w:b w:val="0"/>
          <w:i w:val="0"/>
          <w:sz w:val="24"/>
        </w:rPr>
        <w:t>2. Назначить судебную автотехническую экспертизу (механизм ДТП, стоимость восстановительного ремонта по Единой методике и по рыночным ценам, разумный способ ремонта).</w:t>
      </w:r>
    </w:p>
    <w:p>
      <w:pPr>
        <w:spacing w:after="120" w:line="276" w:lineRule="auto"/>
        <w:ind w:firstLine="709"/>
        <w:jc w:val="both"/>
      </w:pPr>
      <w:r>
        <w:rPr>
          <w:rFonts w:ascii="Times New Roman" w:hAnsi="Times New Roman"/>
          <w:b w:val="0"/>
          <w:i w:val="0"/>
          <w:sz w:val="24"/>
        </w:rPr>
        <w:t>3. [При удовлетворении иска:] Определить ущерб как разницу между рыночной стоимостью ремонта и надлежащим страховым возмещением; учесть степень вины истца; уменьшить возмещение с учётом имущественного положения ответчика.</w:t>
      </w:r>
    </w:p>
    <w:p>
      <w:pPr>
        <w:spacing w:after="120" w:line="276" w:lineRule="auto"/>
        <w:ind w:firstLine="709"/>
        <w:jc w:val="both"/>
      </w:pPr>
      <w:r>
        <w:rPr>
          <w:rFonts w:ascii="Times New Roman" w:hAnsi="Times New Roman"/>
          <w:b w:val="0"/>
          <w:i w:val="0"/>
          <w:sz w:val="24"/>
        </w:rPr>
        <w:t>4. Взыскать с [Ф. И. О. истца] в пользу [Ф. И. О. ответчика] судебные расходы: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(вручение) копии отзыва истцу и другим лицам, участвующим в деле.</w:t>
      </w:r>
    </w:p>
    <w:p>
      <w:pPr>
        <w:spacing w:after="40" w:line="276" w:lineRule="auto"/>
        <w:jc w:val="left"/>
      </w:pPr>
      <w:r>
        <w:rPr>
          <w:rFonts w:ascii="Times New Roman" w:hAnsi="Times New Roman"/>
          <w:b w:val="0"/>
          <w:i w:val="0"/>
          <w:sz w:val="24"/>
        </w:rPr>
        <w:t>2. Материалы ГИБДД по ДТП, видеозаписи.</w:t>
      </w:r>
    </w:p>
    <w:p>
      <w:pPr>
        <w:spacing w:after="40" w:line="276" w:lineRule="auto"/>
        <w:jc w:val="left"/>
      </w:pPr>
      <w:r>
        <w:rPr>
          <w:rFonts w:ascii="Times New Roman" w:hAnsi="Times New Roman"/>
          <w:b w:val="0"/>
          <w:i w:val="0"/>
          <w:sz w:val="24"/>
        </w:rPr>
        <w:t>3. Материалы выплатного дела страховщика (калькуляция по Единой методике, соглашение о выплате).</w:t>
      </w:r>
    </w:p>
    <w:p>
      <w:pPr>
        <w:spacing w:after="40" w:line="276" w:lineRule="auto"/>
        <w:jc w:val="left"/>
      </w:pPr>
      <w:r>
        <w:rPr>
          <w:rFonts w:ascii="Times New Roman" w:hAnsi="Times New Roman"/>
          <w:b w:val="0"/>
          <w:i w:val="0"/>
          <w:sz w:val="24"/>
        </w:rPr>
        <w:t>4. Документы об имущественном положении ответчика.</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квитанция) [если заявлены].</w:t>
      </w:r>
    </w:p>
    <w:p>
      <w:pPr>
        <w:spacing w:after="40" w:line="276" w:lineRule="auto"/>
        <w:jc w:val="left"/>
      </w:pPr>
      <w:r>
        <w:rPr>
          <w:rFonts w:ascii="Times New Roman" w:hAnsi="Times New Roman"/>
          <w:b w:val="0"/>
          <w:i w:val="0"/>
          <w:sz w:val="24"/>
        </w:rPr>
        <w:t>6. Копия доверенности представителя [если отзыв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Ключевой довод: разница считается от надлежащего страхового возмещения по Единой методике, а не от фактически полученной выплаты. Если истец сам выбрал выплату вместо ремонта или согласился на меньшую сумму — это его риск.</w:t>
      </w:r>
    </w:p>
    <w:p>
      <w:pPr>
        <w:spacing w:after="40" w:line="276" w:lineRule="auto"/>
        <w:jc w:val="both"/>
      </w:pPr>
      <w:r>
        <w:rPr>
          <w:rFonts w:ascii="Times New Roman" w:hAnsi="Times New Roman"/>
          <w:b w:val="0"/>
          <w:i/>
          <w:sz w:val="24"/>
        </w:rPr>
        <w:t>— Ходатайствуйте о привлечении страховщика третьим лицом и истребовании выплатного дела. Статья 1068 ГК РФ упомянута без цитирования.</w:t>
      </w:r>
    </w:p>
    <w:p>
      <w:pPr>
        <w:spacing w:after="40" w:line="276" w:lineRule="auto"/>
        <w:jc w:val="both"/>
      </w:pPr>
      <w:r>
        <w:rPr>
          <w:rFonts w:ascii="Times New Roman" w:hAnsi="Times New Roman"/>
          <w:b w:val="0"/>
          <w:i/>
          <w:sz w:val="24"/>
        </w:rPr>
        <w:t>— Отзыв подают в суд и направляют истцу до предварительного заседания или в срок, установленный судьёй при подготовке дела (статьи 149, 150 ГПК РФ); в упрощённом производстве — в срок из определения суда (статья 232.3 ГПК РФ). Подать можно лично, почтой или через ГАС «Правосудие» / Госуслуги.</w:t>
      </w:r>
    </w:p>
    <w:p>
      <w:pPr>
        <w:spacing w:after="40" w:line="276" w:lineRule="auto"/>
        <w:jc w:val="both"/>
      </w:pPr>
      <w:r>
        <w:rPr>
          <w:rFonts w:ascii="Times New Roman" w:hAnsi="Times New Roman"/>
          <w:b w:val="0"/>
          <w:i/>
          <w:sz w:val="24"/>
        </w:rPr>
        <w:t>— Оставьте в отзыве только доводы, которые подтверждаются вашими документами и подходят к вашей ситуации: лишние и неподтверждённые возражения ослабляют позицию. Шаблон содержит максимальный набор доводов — выберите нужные.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13.10.2026).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