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региональный оператор / владелец специального счёта</w:t>
      </w:r>
      <w:r>
        <w:rPr>
          <w:rFonts w:ascii="Times New Roman" w:hAnsi="Times New Roman"/>
          <w:b w:val="0"/>
          <w:i w:val="0"/>
          <w:sz w:val="24"/>
        </w:rPr>
        <w:br/>
        <w:t>[полное наименование управляющей организации / ТСЖ]</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собственник помещения</w:t>
      </w:r>
      <w:r>
        <w:rPr>
          <w:rFonts w:ascii="Times New Roman" w:hAnsi="Times New Roman"/>
          <w:b w:val="0"/>
          <w:i w:val="0"/>
          <w:sz w:val="24"/>
        </w:rPr>
        <w:br/>
        <w:t>[Ф. И. О.]</w:t>
      </w:r>
      <w:r>
        <w:rPr>
          <w:rFonts w:ascii="Times New Roman" w:hAnsi="Times New Roman"/>
          <w:b w:val="0"/>
          <w:i w:val="0"/>
          <w:sz w:val="24"/>
        </w:rPr>
        <w:br/>
        <w:t>адрес: [адрес помещения в многоквартирном доме]</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по взносам на капитальный ремонт и пеней</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задолженности по взносам на капитальный ремонт за период с «[дата]» по «[дата]» в размере [сумма] рублей и пеней в размере [сумма] рублей.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Обязанность платить взносы возникла позже, чем указывает истец.</w:t>
      </w:r>
      <w:r>
        <w:rPr>
          <w:rFonts w:ascii="Times New Roman" w:hAnsi="Times New Roman"/>
          <w:b w:val="0"/>
          <w:i w:val="0"/>
          <w:sz w:val="24"/>
        </w:rPr>
        <w:t xml:space="preserve"> Частью 3 статьи 169 Жилищного кодекса Российской Федерации (далее — ЖК РФ) установлено: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частями 5.1 и 5.2 статьи 170 настоящего Кодекса.» Дом включён в региональную программу [постановлением от «[дата]»], опубликованной «[дата]»; [для домов, введённых после утверждения программы, срок наступления обязанности определяется законом субъекта]. Начисления до этой даты необоснованны.</w:t>
      </w:r>
    </w:p>
    <w:p>
      <w:pPr>
        <w:spacing w:after="120" w:line="276" w:lineRule="auto"/>
        <w:ind w:firstLine="709"/>
        <w:jc w:val="both"/>
      </w:pPr>
      <w:r>
        <w:rPr>
          <w:rFonts w:ascii="Times New Roman" w:hAnsi="Times New Roman"/>
          <w:b/>
          <w:i w:val="0"/>
          <w:sz w:val="24"/>
        </w:rPr>
        <w:t>Ответчик стал собственником только «[дата]».</w:t>
      </w:r>
      <w:r>
        <w:rPr>
          <w:rFonts w:ascii="Times New Roman" w:hAnsi="Times New Roman"/>
          <w:b w:val="0"/>
          <w:i w:val="0"/>
          <w:sz w:val="24"/>
        </w:rPr>
        <w:t xml:space="preserve"> [До этой даты собственником был [Ф. И. О.]. Частью 3 статьи 158 ЖК РФ установлено: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 — к ответчику перешла задолженность прежнего собственника, однако срок давности по ней исчисляется с даты каждого платежа, а не с даты перехода права.] [Если ответчик — наследник: он отвечает по долгам наследодателя в пределах стоимости наследства.]</w:t>
      </w:r>
    </w:p>
    <w:p>
      <w:pPr>
        <w:spacing w:after="120" w:line="276" w:lineRule="auto"/>
        <w:ind w:firstLine="709"/>
        <w:jc w:val="both"/>
      </w:pPr>
      <w:r>
        <w:rPr>
          <w:rFonts w:ascii="Times New Roman" w:hAnsi="Times New Roman"/>
          <w:b/>
          <w:i w:val="0"/>
          <w:sz w:val="24"/>
        </w:rPr>
        <w:t>Ответчик освобождён от взносов [или имеет право на компенсацию].</w:t>
      </w:r>
      <w:r>
        <w:rPr>
          <w:rFonts w:ascii="Times New Roman" w:hAnsi="Times New Roman"/>
          <w:b w:val="0"/>
          <w:i w:val="0"/>
          <w:sz w:val="24"/>
        </w:rPr>
        <w:t xml:space="preserve"> [Ответчик — собственник, достигший возраста 70 (80) лет, проживающий один, — по закону субъекта ему положена компенсация 50 % (100 %) взноса / дом признан аварийным и подлежащим сносу, в отношении него взносы не уплачиваются: часть 2 статьи 169 ЖК РФ —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порядке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Взносы на капитальный ремонт не уплачиваются собственниками помещений в многоквартирном доме, расположенном на территории закрывающегося населенного пункта.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земельного участка или о признании населенного пункта закрывающимся.»].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 по части платежей.</w:t>
      </w:r>
      <w:r>
        <w:rPr>
          <w:rFonts w:ascii="Times New Roman" w:hAnsi="Times New Roman"/>
          <w:b w:val="0"/>
          <w:i w:val="0"/>
          <w:sz w:val="24"/>
        </w:rPr>
        <w:t xml:space="preserve"> Пунктом 1 статьи 196 ГК РФ установлено: «Общий срок исковой давности составляет три года со дня, определяемого в соответствии со статьей 200 настоящего Кодекса.» Плата вносится ежемесячно до 15-го числа следующего месяца (часть 1 статьи 155 Жилищного кодекса Российской Федерации, далее — ЖК РФ: «Плата за жилое помещение и коммунальные услуги вносится ежемесячно до пятнадцатого числа месяца, следующего за истекшим месяцем.»), поэтому срок давности исчисляется отдельно по каждому платежу (пункт 2 статьи 200 ГК РФ: «По обязательствам с определенным сроком исполнения течение срока исковой давности начинается по окончании срока исполнения.»). Срок не течёт лишь в период действия отменённого судебного приказа (статья 204 ГК РФ: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 Требования о взыскании платы за период до «[дата]» предъявлены за пределами срока.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Расчёт истца не учитывает платежи ответчика.</w:t>
      </w:r>
      <w:r>
        <w:rPr>
          <w:rFonts w:ascii="Times New Roman" w:hAnsi="Times New Roman"/>
          <w:b w:val="0"/>
          <w:i w:val="0"/>
          <w:sz w:val="24"/>
        </w:rPr>
        <w:t xml:space="preserve"> За спорный период ответчик внёс [сумма] рублей [квитанции прилагаются]; истец [зачёл их в погашение более ранних периодов, за которые истекла давность, хотя в платёжных документах ответчик указывал конкретный месяц / не учёл вовсе]. Платёж с указанием расчётного периода засчитывается в счёт этого периода.</w:t>
      </w:r>
    </w:p>
    <w:p>
      <w:pPr>
        <w:spacing w:after="120" w:line="276" w:lineRule="auto"/>
        <w:ind w:firstLine="709"/>
        <w:jc w:val="both"/>
      </w:pPr>
      <w:r>
        <w:rPr>
          <w:rFonts w:ascii="Times New Roman" w:hAnsi="Times New Roman"/>
          <w:b/>
          <w:i w:val="0"/>
          <w:sz w:val="24"/>
        </w:rPr>
        <w:t>Пени подлежат уменьшению и рассчитаны с нарушением ограничений.</w:t>
      </w:r>
      <w:r>
        <w:rPr>
          <w:rFonts w:ascii="Times New Roman" w:hAnsi="Times New Roman"/>
          <w:b w:val="0"/>
          <w:i w:val="0"/>
          <w:sz w:val="24"/>
        </w:rPr>
        <w:t xml:space="preserve"> Пени за просрочку платы за жилое помещение и коммунальные услуги (часть 14 статьи 155 ЖК РФ) являются неустойкой. Пунктом 1 постановления Правительства РФ от 18.03.2025 № 329 установлено: «1. Установить, что до 1 января 2027 г.: начисление и уплата пени в случае неполного и (или) несвоевременного внесения платы за жилое помещение и коммунальные услуги, взносов на капитальный ремонт, установленных жилищным законодательством Российской Федерации, а также начисление и взыскание неустойки (штрафа, пени) за несвоевременное и (или) не полностью исполненное юридическими лицами и индивидуальными предпринимателями обязательство по оплате услуг, предоставляемых на основании договоров в соответствии с законодательством Российской Федерации о газоснабжении, об электроэнергетике, о теплоснабжении, о водоснабжении и водоотведении, об обращении с твердыми коммунальными отходами, осуществляются в порядке, предусмотренном указанным законодательством Российской Федерации, исходя из минимального значения ключевой ставки Центрального банка Российской Федерации из следующих значений: ключевая ставка Центрального банка Российской Федерации, действующая по состоянию на 27 февраля 2022 г., и ключевая ставка Центрального банка Российской Федерации, действующая на день фактической оплаты» Ключевая ставка на 27.02.2022 составляла 9,5 % годовых, поэтому до 01.01.2027 пени рассчитываются по меньшей из двух ставок: 9,5 % или ставки на день фактической оплаты. Истец рассчитал пени [по текущей ставке / без учёта этого ограничения].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просит снизить пени с учётом [материального положения, наличия на иждивении детей, частичной оплаты].</w:t>
      </w:r>
    </w:p>
    <w:p>
      <w:pPr>
        <w:spacing w:after="120" w:line="276" w:lineRule="auto"/>
        <w:ind w:firstLine="709"/>
        <w:jc w:val="both"/>
      </w:pPr>
      <w:r>
        <w:rPr>
          <w:rFonts w:ascii="Times New Roman" w:hAnsi="Times New Roman"/>
          <w:b/>
          <w:i w:val="0"/>
          <w:sz w:val="24"/>
        </w:rPr>
        <w:t>Истец — ненадлежащий взыскатель.</w:t>
      </w:r>
      <w:r>
        <w:rPr>
          <w:rFonts w:ascii="Times New Roman" w:hAnsi="Times New Roman"/>
          <w:b w:val="0"/>
          <w:i w:val="0"/>
          <w:sz w:val="24"/>
        </w:rPr>
        <w:t xml:space="preserve"> [Способ формирования фонда изменён: решением общего собрания от «[дата]» фонд формируется на специальном счёте, владельцем которого является [ТСЖ / УК]; региональный оператор не вправе взыскивать взносы за период после перехода — часть 5 статьи 170 ЖК РФ: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частью 1 статьи 172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Выписка из лицевого счёта, приложенная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155, 158, 169, 170 ЖК РФ, статьями 196, 199, 200, 204, 333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задолженности по взносам на капитальный ремонт и пеней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Применить исковую давность и взыскать задолженность только за период с «[дата]» по «[дата]» в размере [сумма] рублей; уменьшить пени до [сумма] рублей по статье 333 ГК РФ.</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Выписка ЕГРН о дате регистрации права ответчика.</w:t>
      </w:r>
    </w:p>
    <w:p>
      <w:pPr>
        <w:spacing w:after="40" w:line="276" w:lineRule="auto"/>
        <w:jc w:val="left"/>
      </w:pPr>
      <w:r>
        <w:rPr>
          <w:rFonts w:ascii="Times New Roman" w:hAnsi="Times New Roman"/>
          <w:b w:val="0"/>
          <w:i w:val="0"/>
          <w:sz w:val="24"/>
        </w:rPr>
        <w:t>3. Квитанции об оплате взносов.</w:t>
      </w:r>
    </w:p>
    <w:p>
      <w:pPr>
        <w:spacing w:after="40" w:line="276" w:lineRule="auto"/>
        <w:jc w:val="left"/>
      </w:pPr>
      <w:r>
        <w:rPr>
          <w:rFonts w:ascii="Times New Roman" w:hAnsi="Times New Roman"/>
          <w:b w:val="0"/>
          <w:i w:val="0"/>
          <w:sz w:val="24"/>
        </w:rPr>
        <w:t>4. Контррасчёт задолженности с учётом давности и платежей.</w:t>
      </w:r>
    </w:p>
    <w:p>
      <w:pPr>
        <w:spacing w:after="40" w:line="276" w:lineRule="auto"/>
        <w:jc w:val="left"/>
      </w:pPr>
      <w:r>
        <w:rPr>
          <w:rFonts w:ascii="Times New Roman" w:hAnsi="Times New Roman"/>
          <w:b w:val="0"/>
          <w:i w:val="0"/>
          <w:sz w:val="24"/>
        </w:rPr>
        <w:t>5. Документы о праве на компенсацию взносов (пенсионное удостоверение, справка о составе семьи) [если применимо].</w:t>
      </w:r>
    </w:p>
    <w:p>
      <w:pPr>
        <w:spacing w:after="40" w:line="276" w:lineRule="auto"/>
        <w:jc w:val="left"/>
      </w:pPr>
      <w:r>
        <w:rPr>
          <w:rFonts w:ascii="Times New Roman" w:hAnsi="Times New Roman"/>
          <w:b w:val="0"/>
          <w:i w:val="0"/>
          <w:sz w:val="24"/>
        </w:rPr>
        <w:t>6. Определение об отмене судебного приказа [для расчёта давности].</w:t>
      </w:r>
    </w:p>
    <w:p>
      <w:pPr>
        <w:spacing w:after="40" w:line="276" w:lineRule="auto"/>
        <w:jc w:val="left"/>
      </w:pPr>
      <w:r>
        <w:rPr>
          <w:rFonts w:ascii="Times New Roman" w:hAnsi="Times New Roman"/>
          <w:b w:val="0"/>
          <w:i w:val="0"/>
          <w:sz w:val="24"/>
        </w:rPr>
        <w:t>7.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8.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Самый частый довод — исковая давность: взыскать можно только за три года до подачи иска (плюс период действия отменённого судебного приказа). Сделайте помесячный контррасчёт.</w:t>
      </w:r>
    </w:p>
    <w:p>
      <w:pPr>
        <w:spacing w:after="40" w:line="276" w:lineRule="auto"/>
        <w:jc w:val="both"/>
      </w:pPr>
      <w:r>
        <w:rPr>
          <w:rFonts w:ascii="Times New Roman" w:hAnsi="Times New Roman"/>
          <w:b w:val="0"/>
          <w:i/>
          <w:sz w:val="24"/>
        </w:rPr>
        <w:t>— Пени по взносам на капремонт до 01.01.2027 считаются по меньшей из ставок: 9,5 % или ключевой на день оплаты (ПП РФ № 329) — проверьте расчёт.</w:t>
      </w:r>
    </w:p>
    <w:p>
      <w:pPr>
        <w:spacing w:after="40" w:line="276" w:lineRule="auto"/>
        <w:jc w:val="both"/>
      </w:pPr>
      <w:r>
        <w:rPr>
          <w:rFonts w:ascii="Times New Roman" w:hAnsi="Times New Roman"/>
          <w:b w:val="0"/>
          <w:i/>
          <w:sz w:val="24"/>
        </w:rPr>
        <w:t>— Пожилые собственники имеют право на компенсацию взносов по закону своего региона.</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