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(Социальный фонд России / наследник / организация, выдавшая документ)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об установлении факта принадлежности [Ф. И. О. заявителя / наследодателя] [трудовой книжки / архивной справки / свидетельства на право собственности на землю / договора приватизации] № [__] от «[дата]», в котором [фамилия / имя / отчество] указано как «[__]».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 относится к тем, принадлежность которых суд не устанавливает [или ошибка не в ФИО].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2 статьи 264 ГПК РФ суд рассматривает дела об установлении «факта принадлежности правоустанавливающих документов (за исключением воинских документов, паспорта и выдаваемых органами записи актов гражданского состояния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рождении» [Заявитель просит установить принадлежность [паспорта / свидетельства о рождении, выданного органом ЗАГС / военного билета] — такие документы исключены прямо; их исправляют выдавшие органы.] [Расхождение касается не фамилии, имени или отчества, а [даты рождения / должности / периода работы], что не охватывается этой категорией дел.]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Организация, выдавшая документ, может внести исправление.</w:t>
      </w:r>
      <w:r>
        <w:rPr>
          <w:rFonts w:ascii="Times New Roman" w:hAnsi="Times New Roman"/>
          <w:b w:val="0"/>
          <w:i w:val="0"/>
          <w:sz w:val="24"/>
        </w:rPr>
        <w:t xml:space="preserve"> В пункте 7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«По делам об установлении факта принадлежности правоустанавливающего документа лицу, имя, отчество или фамилия которого, указанные в документе, не совпадают с именем, отчеством или фамилией этого лица по паспорту или свидетельству о рождении (п. 5 ст. 247 ГПК РСФСР и соответствующие статьи ГПК других союзных республик), суды должны требовать от заявителя представления доказательств о том, что правоустанавливающий документ принадлежит ему и что организация, выдавшая документ, не имеет возможности внести в него соответствующее исправление.» [Организация [наименование] действует; заявитель к ней за исправлением не обращался / архив готов выдать справку с указанием правильных данных по приказам о приёме и увольнении.]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Принадлежность документа заявителю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[В документе указаны [иная дата рождения / иное место рождения / иной адрес]; в организации работал однофамилец [Ф. И. О.] — по данным архива [__].] Совпадение отдельных сведений не подтверждает, что документ выдан именно заявителю.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Социального фонда.] Установление факта не повлечёт заявленных последствий.</w:t>
      </w:r>
      <w:r>
        <w:rPr>
          <w:rFonts w:ascii="Times New Roman" w:hAnsi="Times New Roman"/>
          <w:b w:val="0"/>
          <w:i w:val="0"/>
          <w:sz w:val="24"/>
        </w:rPr>
        <w:t xml:space="preserve"> [Периоды работы, указанные в трудовой книжке, [уже учтены / не могут быть учтены по иным основаниям — отсутствие уплаты страховых взносов, работа за пределами РФ без соглашения].]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на наследственное имущество: документ [свидетельство на землю / договор приватизации] выдан на [Ф. И. О.], и заинтересованное лицо, являющееся [наследником / сособственником], оспаривает его принадлежность наследодателю заявителя: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первичных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Заинтересованное лицо просит истребовать из [архива / организации] приказы, личную карточку формы Т-2, лицевые счета, [документы, на основании которых выдано свидетельство], по которым можно установить, кому выдан документ.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263–265, 267, 268 ГПК РФ, постановлением Пленума ВС СССР № 9,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споре о праве:]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Истребовать первичные документы из [архива / организации].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существовании организации, выдавшей документ (выписка из ЕГРЮЛ), архивные справки.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Документы, подтверждающие иную принадлежность документа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правах заинтересованного лица на имущество [для наследника].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Паспорт, свидетельства ЗАГС и воинские документы этой процедурой не исправляют (п. 5 ч. 2 ст. 264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организация, выдавшая документ, существует и может его исправить, суд факт не устанавливает (п. 7 Пленума ВС СССР № 9, ст. 265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от принадлежности документа зависит наследство, это спор о праве — заявление оставят без рассмотрения.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