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УТВЕРЖДЕНО</w:t>
      </w:r>
    </w:p>
    <w:p>
      <w:pPr>
        <w:spacing w:after="160" w:line="276" w:lineRule="auto"/>
        <w:jc w:val="right"/>
      </w:pPr>
      <w:r>
        <w:rPr>
          <w:rFonts w:ascii="Times New Roman" w:hAnsi="Times New Roman"/>
          <w:b w:val="0"/>
          <w:i w:val="0"/>
          <w:sz w:val="24"/>
        </w:rPr>
        <w:t>решением собрания кредиторов [Ф. И. О. должника]</w:t>
      </w:r>
    </w:p>
    <w:p>
      <w:pPr>
        <w:spacing w:after="160" w:line="276" w:lineRule="auto"/>
        <w:jc w:val="right"/>
      </w:pPr>
      <w:r>
        <w:rPr>
          <w:rFonts w:ascii="Times New Roman" w:hAnsi="Times New Roman"/>
          <w:b w:val="0"/>
          <w:i w:val="0"/>
          <w:sz w:val="24"/>
        </w:rPr>
        <w:t>протокол от «[дата]» № [__]</w:t>
      </w:r>
    </w:p>
    <w:p>
      <w:pPr>
        <w:spacing w:after="160" w:line="276" w:lineRule="auto"/>
        <w:jc w:val="right"/>
      </w:pPr>
      <w:r>
        <w:rPr>
          <w:rFonts w:ascii="Times New Roman" w:hAnsi="Times New Roman"/>
          <w:b w:val="0"/>
          <w:i w:val="0"/>
          <w:sz w:val="24"/>
        </w:rPr>
        <w:t>[либо: определением Арбитражного суда [наименование] от «[дата]» по делу № А[__]-[_____]/20[__]]</w:t>
      </w:r>
    </w:p>
    <w:p>
      <w:pPr>
        <w:spacing w:after="0" w:line="276" w:lineRule="auto"/>
        <w:jc w:val="center"/>
      </w:pPr>
      <w:r>
        <w:rPr>
          <w:rFonts w:ascii="Times New Roman" w:hAnsi="Times New Roman"/>
          <w:b/>
          <w:i w:val="0"/>
          <w:sz w:val="24"/>
        </w:rPr>
        <w:t>ПОЛОЖЕНИЕ</w:t>
      </w:r>
    </w:p>
    <w:p>
      <w:pPr>
        <w:spacing w:after="240" w:line="276" w:lineRule="auto"/>
        <w:jc w:val="center"/>
      </w:pPr>
      <w:r>
        <w:rPr>
          <w:rFonts w:ascii="Times New Roman" w:hAnsi="Times New Roman"/>
          <w:b/>
          <w:i w:val="0"/>
          <w:sz w:val="24"/>
        </w:rPr>
        <w:t>о порядке, об условиях и о сроках реализации имущества гражданина [Ф. И. О.]</w:t>
      </w:r>
    </w:p>
    <w:p>
      <w:pPr>
        <w:spacing w:after="120" w:line="276" w:lineRule="auto"/>
        <w:jc w:val="center"/>
      </w:pPr>
      <w:r>
        <w:rPr>
          <w:rFonts w:ascii="Times New Roman" w:hAnsi="Times New Roman"/>
          <w:b/>
          <w:i w:val="0"/>
          <w:sz w:val="24"/>
        </w:rPr>
        <w:t>I. Общие положения</w:t>
      </w:r>
    </w:p>
    <w:p>
      <w:pPr>
        <w:spacing w:after="120" w:line="276" w:lineRule="auto"/>
        <w:ind w:firstLine="709"/>
        <w:jc w:val="both"/>
      </w:pPr>
      <w:r>
        <w:rPr>
          <w:rFonts w:ascii="Times New Roman" w:hAnsi="Times New Roman"/>
          <w:b w:val="0"/>
          <w:i w:val="0"/>
          <w:sz w:val="24"/>
        </w:rPr>
        <w:t>Настоящее Положение разработано финансовым управляющим [Ф. И. О.] (далее — Финансовый управляющий), утверждённым решением Арбитражного суда [наименование] от «[дата]» по делу № А[__]-[_____]/20[__] о признании гражданина [Ф. И. О.] (далее — Должник) банкротом, и определяет порядок, условия и сроки реализации имущества Должника, включённого в конкурсную массу. Пунктом 1 статьи 213.26 Федерального закона от 26.10.2002 № 127-ФЗ «О несостоятельности (банкротстве)» (далее — Закон о банкротстве) установлено: «В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 об условиях и о сроках реализации имущества гражданина с указанием начальной цены продажи имущества. Данное положение должно соответствовать правилам продажи имущества должника, установленным статьями 110, 111, 112, 139 настоящего Федерального закона. В течение двух месяцев собрание кредиторов или комитет кредиторов должны утвердить указанное положение. Собрание кредиторов или комитет кредиторов вправе утвердить иной порядок продажи имущества должника, чем тот, который предложен финансовым управляющим. Сведения об утверждении положения о порядке, об условиях и о сроках реализации имущества гражданина с указанием начальной цены продажи имущества включаются финансовым управляющим в Единый федеральный реестр сведений о банкротстве.» Пунктом 3 статьи 213.26 Закона о банкротстве предусмотрено: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pPr>
        <w:spacing w:after="120" w:line="276" w:lineRule="auto"/>
        <w:jc w:val="center"/>
      </w:pPr>
      <w:r>
        <w:rPr>
          <w:rFonts w:ascii="Times New Roman" w:hAnsi="Times New Roman"/>
          <w:b/>
          <w:i w:val="0"/>
          <w:sz w:val="24"/>
        </w:rPr>
        <w:t>II. Имущество, подлежащее реализации, и начальная цена</w:t>
      </w:r>
    </w:p>
    <w:p>
      <w:pPr>
        <w:spacing w:after="120" w:line="276" w:lineRule="auto"/>
        <w:ind w:firstLine="709"/>
        <w:jc w:val="both"/>
      </w:pPr>
      <w:r>
        <w:rPr>
          <w:rFonts w:ascii="Times New Roman" w:hAnsi="Times New Roman"/>
          <w:b w:val="0"/>
          <w:i w:val="0"/>
          <w:sz w:val="24"/>
        </w:rPr>
        <w:t>Лот № 1: [наименование и характеристики имущества — для недвижимости: вид, адрес, кадастровый номер, площадь, обременения; для транспорта: марка, модель, VIN, год выпуска, госномер, состояние; для долей: наименование общества, ОГРН, размер доли]. Начальная цена продажи — [сумма] руб. [Лот № 2: …]. Начальная цена определена на основании [оценки, проведённой Финансовым управляющим самостоятельно (решение от «[дата]») / отчёта оценщика [наименование] № [__] от «[дата]»]; пунктом 2 статьи 213.26 Закона о банкротстве установлено: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 [Имущество, находящееся в общей собственности с супругом(ой), реализуется в соответствии с пунктом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pPr>
        <w:spacing w:after="120" w:line="276" w:lineRule="auto"/>
        <w:jc w:val="center"/>
      </w:pPr>
      <w:r>
        <w:rPr>
          <w:rFonts w:ascii="Times New Roman" w:hAnsi="Times New Roman"/>
          <w:b/>
          <w:i w:val="0"/>
          <w:sz w:val="24"/>
        </w:rPr>
        <w:t>III. Форма и порядок проведения торгов</w:t>
      </w:r>
    </w:p>
    <w:p>
      <w:pPr>
        <w:spacing w:after="120" w:line="276" w:lineRule="auto"/>
        <w:ind w:firstLine="709"/>
        <w:jc w:val="both"/>
      </w:pPr>
      <w:r>
        <w:rPr>
          <w:rFonts w:ascii="Times New Roman" w:hAnsi="Times New Roman"/>
          <w:b w:val="0"/>
          <w:i w:val="0"/>
          <w:sz w:val="24"/>
        </w:rPr>
        <w:t>Имущество реализуется на открытых торгах в форме аукциона с открытой формой представления предложений о цене в электронной форме на электронной площадке [наименование, адрес сайта], оператор — [наименование, ОГРН]; организатор торгов — Финансовый управляющий [либо специализированная организация [наименование] с оплатой услуг за счёт [__]]. Пунктом 4 статьи 110 Закона о банкротстве установлено: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 Продажа предприятия осуществляется путем проведения открытых торгов, за исключением случая наличия в составе предприятия имущества, относящегося в соответствии с законодательством Российской Федерации к ограниченно оборотоспособному имуществу. В этом случае продажа предприятия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 Торги проводятся в порядке, установленном пунктами 4, 5, 8–19 статьи 110, статьёй 111 и пунктом 3 статьи 139 Закона о банкротстве и Порядком проведения торгов в электронной форме, утверждённым приказом Минэкономразвития России от 23.07.2015 № 495.</w:t>
      </w:r>
    </w:p>
    <w:p>
      <w:pPr>
        <w:spacing w:after="120" w:line="276" w:lineRule="auto"/>
        <w:ind w:firstLine="709"/>
        <w:jc w:val="both"/>
      </w:pPr>
      <w:r>
        <w:rPr>
          <w:rFonts w:ascii="Times New Roman" w:hAnsi="Times New Roman"/>
          <w:b w:val="0"/>
          <w:i w:val="0"/>
          <w:sz w:val="24"/>
        </w:rPr>
        <w:t>Сообщение о проведении торгов включается в ЕФРСБ не позднее чем за тридцать дней до даты торгов [и публикуется в газете «Коммерсантъ» — при продаже недвижимости и имущества стоимостью свыше [__] руб.] и содержит сведения, предусмотренные пунктом 10 статьи 110 Закона о банкротстве. Срок приёма заявок — двадцать пять рабочих дней с даты публикации. Шаг аукциона — пять процентов начальной цены. Задаток — [десять / двадцать] процентов начальной цены, вносится на специальный банковский счёт Должника № [__] в [банк] до окончания срока приёма заявок; задаток возвращается всем заявителям, кроме победителя, в течение пяти рабочих дней. Победителем признаётся участник, предложивший наиболее высокую цену; при единственном участнике договор заключается с ним по начальной цене (пункт 17 статьи 110).</w:t>
      </w:r>
    </w:p>
    <w:p>
      <w:pPr>
        <w:spacing w:after="120" w:line="276" w:lineRule="auto"/>
        <w:jc w:val="center"/>
      </w:pPr>
      <w:r>
        <w:rPr>
          <w:rFonts w:ascii="Times New Roman" w:hAnsi="Times New Roman"/>
          <w:b/>
          <w:i w:val="0"/>
          <w:sz w:val="24"/>
        </w:rPr>
        <w:t>IV. Повторные торги и публичное предложение</w:t>
      </w:r>
    </w:p>
    <w:p>
      <w:pPr>
        <w:spacing w:after="120" w:line="276" w:lineRule="auto"/>
        <w:ind w:firstLine="709"/>
        <w:jc w:val="both"/>
      </w:pPr>
      <w:r>
        <w:rPr>
          <w:rFonts w:ascii="Times New Roman" w:hAnsi="Times New Roman"/>
          <w:b w:val="0"/>
          <w:i w:val="0"/>
          <w:sz w:val="24"/>
        </w:rPr>
        <w:t>При признании первых торгов несостоявшимися и незаключении договора с единственным участником проводятся повторные торги с начальной ценой, сниженной на десять процентов. Пунктом 4 статьи 139 Закона о банкротстве установлено: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Начальная цена публичного предложения — начальная цена повторных торгов; цена снижается на [десять] процентов начальной цены каждые [семь календарных дней]; минимальная цена (цена отсечения) — [__] процентов начальной цены публичного предложения. Право приобретения принадлежит участнику, представившему в установленный срок заявку с наибольшей ценой не ниже цены действующего периода; при равенстве — подавшему заявку первым. [При отсутствии заявок по цене отсечения имущество предлагается кредиторам в счёт погашения требований, а при их отказе — передаётся Должнику (пункт 5 статьи 213.26 Закона о банкротстве).]</w:t>
      </w:r>
    </w:p>
    <w:p>
      <w:pPr>
        <w:spacing w:after="120" w:line="276" w:lineRule="auto"/>
        <w:jc w:val="center"/>
      </w:pPr>
      <w:r>
        <w:rPr>
          <w:rFonts w:ascii="Times New Roman" w:hAnsi="Times New Roman"/>
          <w:b/>
          <w:i w:val="0"/>
          <w:sz w:val="24"/>
        </w:rPr>
        <w:t>V. Договор купли-продажи и расчёты</w:t>
      </w:r>
    </w:p>
    <w:p>
      <w:pPr>
        <w:spacing w:after="120" w:line="276" w:lineRule="auto"/>
        <w:ind w:firstLine="709"/>
        <w:jc w:val="both"/>
      </w:pPr>
      <w:r>
        <w:rPr>
          <w:rFonts w:ascii="Times New Roman" w:hAnsi="Times New Roman"/>
          <w:b w:val="0"/>
          <w:i w:val="0"/>
          <w:sz w:val="24"/>
        </w:rPr>
        <w:t>Договор купли-продажи заключается Финансовым управляющим от имени Должника с победителем в течение пяти дней с даты получения предложения о заключении договора; оплата — в течение тридцати дней с даты подписания договора на основной счёт Должника № [__] в [банк]; задаток засчитывается в счёт оплаты. Передача имущества производится после полной оплаты по акту; расходы на государственную регистрацию перехода права несёт покупатель. При уклонении победителя от подписания договора или оплаты задаток не возвращается, а договор заключается со участником, предложившим следующую цену. [Реализация имущества, не являющегося недвижимостью, стоимостью до [сто тысяч] руб. осуществляется путём прямых продаж по цене не ниже оценочной с публикацией сообщения в ЕФРСБ — решение собрания кредиторов от «[дата]».]</w:t>
      </w:r>
    </w:p>
    <w:p>
      <w:pPr>
        <w:spacing w:after="120" w:line="276" w:lineRule="auto"/>
        <w:jc w:val="center"/>
      </w:pPr>
      <w:r>
        <w:rPr>
          <w:rFonts w:ascii="Times New Roman" w:hAnsi="Times New Roman"/>
          <w:b/>
          <w:i w:val="0"/>
          <w:sz w:val="24"/>
        </w:rPr>
        <w:t>VI. Сроки и информирование</w:t>
      </w:r>
    </w:p>
    <w:p>
      <w:pPr>
        <w:spacing w:after="120" w:line="276" w:lineRule="auto"/>
        <w:ind w:firstLine="709"/>
        <w:jc w:val="both"/>
      </w:pPr>
      <w:r>
        <w:rPr>
          <w:rFonts w:ascii="Times New Roman" w:hAnsi="Times New Roman"/>
          <w:b w:val="0"/>
          <w:i w:val="0"/>
          <w:sz w:val="24"/>
        </w:rPr>
        <w:t>Срок реализации — [четыре] месяца с даты утверждения Положения; при необходимости продлевается по решению собрания кредиторов. Пунктом 6 статьи 213.26 Закона о банкротстве установлено: «О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арбитражном суде.» Сведения о результатах торгов включаются в ЕФРСБ в течение трёх рабочих дней; отчёт о реализации представляется кредиторам и в суд.</w:t>
      </w:r>
    </w:p>
    <w:p>
      <w:pPr>
        <w:spacing w:after="0" w:line="276" w:lineRule="auto" w:before="360"/>
        <w:jc w:val="left"/>
      </w:pPr>
      <w:r>
        <w:rPr>
          <w:rFonts w:ascii="Times New Roman" w:hAnsi="Times New Roman"/>
          <w:b w:val="0"/>
          <w:i w:val="0"/>
          <w:sz w:val="24"/>
        </w:rPr>
        <w:t>Финансовый управляющий</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2024 года положение утверждает собрание (комитет) кредиторов, а суд — только при разногласиях или по ходатайству при неутверждении в двухмесячный срок; сведения об утверждении публикуются в ЕФРСБ, после чего у лиц, участвующих в деле, есть два месяца на оспаривание (абз. 4 п. 1 ст. 213.26).</w:t>
      </w:r>
    </w:p>
    <w:p>
      <w:pPr>
        <w:spacing w:after="40" w:line="276" w:lineRule="auto"/>
        <w:jc w:val="both"/>
      </w:pPr>
      <w:r>
        <w:rPr>
          <w:rFonts w:ascii="Times New Roman" w:hAnsi="Times New Roman"/>
          <w:b w:val="0"/>
          <w:i/>
          <w:sz w:val="24"/>
        </w:rPr>
        <w:t>— Для предмета залога начальную цену и порядок торгов определяет залоговый кредитор (п. 4 ст. 213.26); разногласия с ним разрешает суд — см. отдельный шаблон заявления.</w:t>
      </w:r>
    </w:p>
    <w:p>
      <w:pPr>
        <w:spacing w:after="40" w:line="276" w:lineRule="auto"/>
        <w:jc w:val="both"/>
      </w:pPr>
      <w:r>
        <w:rPr>
          <w:rFonts w:ascii="Times New Roman" w:hAnsi="Times New Roman"/>
          <w:b w:val="0"/>
          <w:i/>
          <w:sz w:val="24"/>
        </w:rPr>
        <w:t>— Укажите реальные реквизиты площадки, счёта для задатков и шаг снижения цены — суды и кредиторы проверяют, обеспечивает ли порядок продажу по наиболее высокой цене (абз. 7 п. 1.1 ст. 139).</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