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кредитор</w:t>
      </w:r>
      <w:r>
        <w:rPr>
          <w:rFonts w:ascii="Times New Roman" w:hAnsi="Times New Roman"/>
          <w:b w:val="0"/>
          <w:i w:val="0"/>
          <w:sz w:val="24"/>
        </w:rPr>
        <w:br/>
        <w:t>[полное наименование организации-кредитора]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[договора дарения / купли-продажи]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 Требование заявителя — [наименование кредитора] (далее — Кредитор) включено в реестр требований кредиторов определением от «[дата]» в размере [сумма] руб., что составляет [__] % общего размера требований, включённых в реестр ([сумма] руб.), без учёта требований ответчика и его заинтересованных лиц.</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Требование заявителя включено в реестр требований кредиторов Должника определением от «[дата]» в размере [сумма] руб., что составляет [__] % общего размера требований, включённых в реестр ([сумма] руб.) без учёта требований ответчика и его заинтересованных лиц [расчёт: [__]].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ind w:firstLine="709"/>
        <w:jc w:val="both"/>
      </w:pPr>
      <w:r>
        <w:rPr>
          <w:rFonts w:ascii="Times New Roman" w:hAnsi="Times New Roman"/>
          <w:b w:val="0"/>
          <w:i w:val="0"/>
          <w:sz w:val="24"/>
        </w:rPr>
        <w:t>Пунктом 31 Постановления № 63 разъяснено: «В силу статьи 61.9 Закона о банкротстве заявление об оспаривании сделки на основании статей 61.2 или 61.3 может быть подано арбитражным управляющим по своей инициативе либо по решению собрания кредиторов или комитета кредиторов. Отдельный кредитор или уполномоченный орган вправе также обращаться к арбитражному управляющему с предложением об оспаривании управляющим сделки на основании статей 61.2 или 61.3 Закона о банкротстве; в случае отказа или бездействия управляющего этот кредитор или уполномоченный орган также вправе в порядке статьи 60 Закона о банкротстве обратиться в суд с жалобой на отказ или бездействие арбитражного управляющего; признание этого бездействия (отказа) незаконным может являться основанием для отстранения арбитражного управляющего. Кредитор, обращающийся к арбитражному управляющему с предложением об оспаривании сделки, должен обосновать наличие совокупности обстоятельств, составляющих предусмотренное законом основание недействительности, применительно к указанной им сделке. В силу пункта 4 статьи 20.3 Закона о банкротстве при рассмотрении предложения об оспаривании сделки арбитражный управляющий обязан проанализировать, насколько убедительны аргументы кредитора и приведенные им доказательства, а также оценить реальную возможность фактического восстановления нарушенных прав должника и его кредиторов в случае удовлетворения судом соответствующего заявления. При рассмотрении жалобы кредитора на отказ арбитражного управляющего оспорить сделку суду следует установить, проявил ли управляющий при таком отказе заботливость и осмотрительность, которые следовало ожидать при аналогичных обстоятельствах от обычного арбитражного управляющего; при этом суд не оценивает действительность соответствующей сделки.» Кредитор «[дата]» обращался к Финансовому управляющему с предложением оспорить сделку (письмо — приложение); управляющий [отказал письмом от «[дата]» / не ответил], что не препятствует подаче заявления самим Кредитором, размер требований которого превышает десять процентов реестра.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[Изложить сделку: по договору [дарения / купли-продажи] от «[дата]» Должник передал [Ф. И. О. ответчика] — своему [родственнику] — [объект, кадастровый номер] (далее — Объект) [безвозмездно / за [сумма] руб. при рыночной стоимости [сумма] руб.]; переход права зарегистрирован «[дата]». Сведения о сделке получены Кредитором из [материалов дела о банкротстве / отчёта управляющего / выписки ЕГРН].]</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(переход права зарегистрирован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сделки Должник имел неисполненное обязательство перед Кредитором: [кредитный договор от «[дата]» № [__], просрочка с «[дата]», решение суда от «[дата]»]. 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jc w:val="center"/>
      </w:pPr>
      <w:r>
        <w:rPr>
          <w:rFonts w:ascii="Times New Roman" w:hAnsi="Times New Roman"/>
          <w:b/>
          <w:i w:val="0"/>
          <w:sz w:val="24"/>
        </w:rPr>
        <w:t>III. Вред кредиторам, заинтересованность и осведомлённость ответчика</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Пунктом 3 статьи 19 Закона о банкротстве установлено: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Ответчик является [супругом / сыном / дочерью / матерью / отцом / братом / сестрой] Должника, что подтверждается [записью акта о рождении / о заключении брака, сведениями органа ЗАГС, совпадением фамилии и адреса регистрации, объяснениями Должника]. В силу абзаца первого пункта 2 статьи 61.2 Закона о банкротстве и пункта 7 Постановления № 63 осведомлённость заинтересованного лица о цели причинения вреда кредиторам презюмируется; бремя опровержения презумпции лежит на ответчике.</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jc w:val="center"/>
      </w:pPr>
      <w:r>
        <w:rPr>
          <w:rFonts w:ascii="Times New Roman" w:hAnsi="Times New Roman"/>
          <w:b/>
          <w:i w:val="0"/>
          <w:sz w:val="24"/>
        </w:rPr>
        <w:t>IV. Правовое обоснование</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Судебная практика исходит из того, что при наличии значительных долговых обязательств стремление гражданина одарить родственника не может иметь приоритет над необходимостью удовлетворения требований кредиторов за счёт его имущества (определение Верховного Суда Российской Федерации от 22.07.2019 № 308-ЭС19-4372); заключение сделки, направленной на уменьшение активов должника путём отчуждения имущества третьим лицам в ущерб кредиторам, является злоупотреблением правом (постановление Президиума Высшего Арбитражного Суда Российской Федерации от 02.11.2010 № 6526/10); в преддверии банкротства должник, осознавая наличие кредиторов, может предпринимать действия по выводу имущества либо по принятию фиктивных долговых обязательств перед доверенными лицами (определение Верховного Суда Российской Федерации от 17.12.2020 № 305-ЭС20-12206). Неисполнение существовавших обязательств, безвозмездность (заниженная цена) и аффилированность стороны в совокупности достаточны для вывода о цели причинения вреда кредиторам (определение Верховного Суда Российской Федерации от 12.03.2019 № 305-ЭС17-11710(4)).</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jc w:val="center"/>
      </w:pPr>
      <w:r>
        <w:rPr>
          <w:rFonts w:ascii="Times New Roman" w:hAnsi="Times New Roman"/>
          <w:b/>
          <w:i w:val="0"/>
          <w:sz w:val="24"/>
        </w:rPr>
        <w:t>V.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ind w:firstLine="709"/>
        <w:jc w:val="both"/>
      </w:pPr>
      <w:r>
        <w:rPr>
          <w:rFonts w:ascii="Times New Roman" w:hAnsi="Times New Roman"/>
          <w:b w:val="0"/>
          <w:i w:val="0"/>
          <w:sz w:val="24"/>
        </w:rPr>
        <w:t>Для Кредитора срок исковой давности исчисляется с момента, когда он узнал или должен был узнать об основаниях недействительности сделки, но не ранее включения его требования в реестр и получения права на оспаривание («[дата]»); сведения о сделке получены «[дата]». Срок не пропущен.</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VI.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Спорное имущество сохранилось у ответчика [право собственности зарегистрировано за ним — выписка из ЕГРН / автомобиль зарегистрирован за ним — сведения ГИБДД], поэтому подлежит возврату в конкурсную массу в натуре. На случай установления судом невозможности возврата заявитель просит взыскать действительную стоимость имущества на момент его приобретения — [сумма] руб. [отчёт об оценке / справка о рыночной стоимости].</w:t>
      </w:r>
    </w:p>
    <w:p>
      <w:pPr>
        <w:spacing w:after="120" w:line="276" w:lineRule="auto"/>
        <w:ind w:firstLine="709"/>
        <w:jc w:val="both"/>
      </w:pPr>
      <w:r>
        <w:rPr>
          <w:rFonts w:ascii="Times New Roman" w:hAnsi="Times New Roman"/>
          <w:b w:val="0"/>
          <w:i w:val="0"/>
          <w:sz w:val="24"/>
        </w:rPr>
        <w:t>Имущество возвращается в конкурсную массу Должника (а не Кредитору) и распределяется между всеми кредиторами в порядке очерёдности.</w:t>
      </w:r>
    </w:p>
    <w:p>
      <w:pPr>
        <w:spacing w:after="120" w:line="276" w:lineRule="auto"/>
        <w:jc w:val="center"/>
      </w:pPr>
      <w:r>
        <w:rPr>
          <w:rFonts w:ascii="Times New Roman" w:hAnsi="Times New Roman"/>
          <w:b/>
          <w:i w:val="0"/>
          <w:sz w:val="24"/>
        </w:rPr>
        <w:t>VII.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ответчик может отчудить Объект третьему лицу. Испрашиваемая мера в виде запрета Управлению Росреестра по [субъект] совершать регистрационные действия в отношении Объекта (кадастровый номер [__])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VIII.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Гражданского кодекса Российской Федерации, статьями 2, 19, 61.1, 61.2, 61.6, 61.8, 61.9, 213.32 Федерального закона «О несостоятельности (банкротстве)», статьями 65, 90, 91, 92, 125, 126, 223 Арбитражного процессуального кодекса Российской Федерации, конкурсный кредитор</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регистрационные действия в отношении [Объект, кадастровый номер]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[договор] от «[дата]», заключённый между [Ф. И. О. Должника] и [Ф. И. О. ответчика] в отношении [Объект, кадастровый номер].</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обязать [Ф. И. О. ответчика] возвратить [Объект] в конкурсную массу [Ф. И. О. Должника]; указать, что определение является основанием для внесения записей в ЕГРН [при невозможности возврата — взыскать в конкурсную массу [сумма] руб.].</w:t>
      </w:r>
    </w:p>
    <w:p>
      <w:pPr>
        <w:spacing w:after="120" w:line="276" w:lineRule="auto"/>
        <w:ind w:firstLine="709"/>
        <w:jc w:val="both"/>
      </w:pPr>
      <w:r>
        <w:rPr>
          <w:rFonts w:ascii="Times New Roman" w:hAnsi="Times New Roman"/>
          <w:b w:val="0"/>
          <w:i w:val="0"/>
          <w:sz w:val="24"/>
        </w:rPr>
        <w:t>5. Взыскать с ответчика в пользу [наименование Кредитора] расходы по уплате государственной пошлины в размере [сумма] руб.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Определение о включении требования Кредитора в реестр; реестр требований кредиторов с расчётом доли Кредитора (более 10 %).</w:t>
      </w:r>
    </w:p>
    <w:p>
      <w:pPr>
        <w:spacing w:after="40" w:line="276" w:lineRule="auto"/>
        <w:jc w:val="left"/>
      </w:pPr>
      <w:r>
        <w:rPr>
          <w:rFonts w:ascii="Times New Roman" w:hAnsi="Times New Roman"/>
          <w:b w:val="0"/>
          <w:i w:val="0"/>
          <w:sz w:val="24"/>
        </w:rPr>
        <w:t>4. Письмо Кредитора управляющему с предложением оспорить сделку и ответ (доказательство отсутствия ответа).</w:t>
      </w:r>
    </w:p>
    <w:p>
      <w:pPr>
        <w:spacing w:after="40" w:line="276" w:lineRule="auto"/>
        <w:jc w:val="left"/>
      </w:pPr>
      <w:r>
        <w:rPr>
          <w:rFonts w:ascii="Times New Roman" w:hAnsi="Times New Roman"/>
          <w:b w:val="0"/>
          <w:i w:val="0"/>
          <w:sz w:val="24"/>
        </w:rPr>
        <w:t>5. Выписки из ЕГРН об Объекте и переходе прав; копия договора [если имеется]; сведения о стоимости Объекта.</w:t>
      </w:r>
    </w:p>
    <w:p>
      <w:pPr>
        <w:spacing w:after="40" w:line="276" w:lineRule="auto"/>
        <w:jc w:val="left"/>
      </w:pPr>
      <w:r>
        <w:rPr>
          <w:rFonts w:ascii="Times New Roman" w:hAnsi="Times New Roman"/>
          <w:b w:val="0"/>
          <w:i w:val="0"/>
          <w:sz w:val="24"/>
        </w:rPr>
        <w:t>6. Доказательства заинтересованности ответчика и неплатёжеспособности Должника на дату сделки.</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Право кредитора на самостоятельное оспаривание возникает при размере его требований более 10 % реестра (без учёта требований ответчика и его аффилированных лиц). Приложите расчёт доли на дату подачи заявления.</w:t>
      </w:r>
    </w:p>
    <w:p>
      <w:pPr>
        <w:spacing w:after="40" w:line="276" w:lineRule="auto"/>
        <w:jc w:val="both"/>
      </w:pPr>
      <w:r>
        <w:rPr>
          <w:rFonts w:ascii="Times New Roman" w:hAnsi="Times New Roman"/>
          <w:b w:val="0"/>
          <w:i/>
          <w:sz w:val="24"/>
        </w:rPr>
        <w:t>— Кредитор с меньшей долей обращается к управляющему с предложением оспорить сделку, а при отказе — обжалует его бездействие и просит суд предоставить право на оспаривание (п. 31 Постановления № 63). Несколько мелких кредиторов могут объединить требования для достижения 10 %.</w:t>
      </w:r>
    </w:p>
    <w:p>
      <w:pPr>
        <w:spacing w:after="40" w:line="276" w:lineRule="auto"/>
        <w:jc w:val="both"/>
      </w:pPr>
      <w:r>
        <w:rPr>
          <w:rFonts w:ascii="Times New Roman" w:hAnsi="Times New Roman"/>
          <w:b w:val="0"/>
          <w:i/>
          <w:sz w:val="24"/>
        </w:rPr>
        <w:t>— Пошлину кредитор платит сам (7 500 руб. для должника-гражданина); при удовлетворении заявления она взыскивается с ответчика в пользу кредитора.</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40" w:line="276" w:lineRule="auto"/>
        <w:jc w:val="both"/>
      </w:pPr>
      <w:r>
        <w:rPr>
          <w:rFonts w:ascii="Times New Roman" w:hAnsi="Times New Roman"/>
          <w:b w:val="0"/>
          <w:i/>
          <w:sz w:val="24"/>
        </w:rPr>
        <w:t>— Единственное жильё: по п. 4 постановления Пленума ВС РФ от 25.12.2018 № 48 сделка по отчуждению жилого помещения не признаётся недействительной, если в нём продолжают проживать должник и его семья и при возврате оно будет защищено исполнительским иммунитетом (ст. 446 ГПК РФ). Проверьте, не является ли объект единственным жильём должника.</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