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кредитор</w:t>
      </w:r>
      <w:r>
        <w:rPr>
          <w:rFonts w:ascii="Times New Roman" w:hAnsi="Times New Roman"/>
          <w:b w:val="0"/>
          <w:i w:val="0"/>
          <w:sz w:val="24"/>
        </w:rPr>
        <w:br/>
        <w:t>[полное наименование организации-кредитора]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2 (организатор торгов): </w:t>
      </w:r>
      <w:r>
        <w:rPr>
          <w:rFonts w:ascii="Times New Roman" w:hAnsi="Times New Roman"/>
          <w:b w:val="0"/>
          <w:i w:val="0"/>
          <w:sz w:val="24"/>
        </w:rPr>
        <w:t>[финансовый управляющий Ф. И. О. / наименование специализированной организации]</w:t>
      </w:r>
      <w:r>
        <w:rPr>
          <w:rFonts w:ascii="Times New Roman" w:hAnsi="Times New Roman"/>
          <w:b w:val="0"/>
          <w:i w:val="0"/>
          <w:sz w:val="24"/>
        </w:rPr>
        <w:br/>
        <w:t>адрес: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торгов по продаже имущества должника и договора купли-продажи, заключённого по их результатам,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val="0"/>
          <w:i w:val="0"/>
          <w:sz w:val="24"/>
        </w:rPr>
        <w:t>Требование заявителя — [наименование кредитора] (далее — Кредитор) включено в реестр определением от «[дата]» в размере [сумма] руб. [Заявитель — участник торгов, подавший заявку № [__] и внёсший задаток [сумма] руб.]</w:t>
      </w:r>
    </w:p>
    <w:p>
      <w:pPr>
        <w:spacing w:after="120" w:line="276" w:lineRule="auto"/>
        <w:jc w:val="center"/>
      </w:pPr>
      <w:r>
        <w:rPr>
          <w:rFonts w:ascii="Times New Roman" w:hAnsi="Times New Roman"/>
          <w:b/>
          <w:i w:val="0"/>
          <w:sz w:val="24"/>
        </w:rPr>
        <w:t>I. Обстоятельства проведения торгов</w:t>
      </w:r>
    </w:p>
    <w:p>
      <w:pPr>
        <w:spacing w:after="120" w:line="276" w:lineRule="auto"/>
        <w:ind w:firstLine="709"/>
        <w:jc w:val="both"/>
      </w:pPr>
      <w:r>
        <w:rPr>
          <w:rFonts w:ascii="Times New Roman" w:hAnsi="Times New Roman"/>
          <w:b w:val="0"/>
          <w:i w:val="0"/>
          <w:sz w:val="24"/>
        </w:rPr>
        <w:t>Определением суда от «[дата]» [решением собрания кредиторов от «[дата]»] утверждено Положение о порядке, сроках и условиях продажи имущества Должника (далее — Положение): [объект, кадастровый номер] (далее — Имущество) начальной стоимостью [сумма] руб. Торги в форме [открытого аукциона / публичного предложения] проведены на электронной площадке [наименование] «[дата]» (сообщение ЕФРСБ № [__] от «[дата]»); победителем признан [наименование ответчика 1] с ценой [сумма] руб. (протокол от «[дата]»); «[дата]» с ним заключён договор купли-продажи (далее — Договор), переход права зарегистрирован «[дата]».</w:t>
      </w:r>
    </w:p>
    <w:p>
      <w:pPr>
        <w:spacing w:after="120" w:line="276" w:lineRule="auto"/>
        <w:ind w:firstLine="709"/>
        <w:jc w:val="both"/>
      </w:pPr>
      <w:r>
        <w:rPr>
          <w:rFonts w:ascii="Times New Roman" w:hAnsi="Times New Roman"/>
          <w:b w:val="0"/>
          <w:i w:val="0"/>
          <w:sz w:val="24"/>
        </w:rPr>
        <w:t>При проведении торгов допущены нарушения: [сообщение о торгах опубликовано менее чем за тридцать дней до даты торгов — «[дата]» при торгах «[дата]» / в сообщении не указаны [порядок ознакомления с имуществом / обременения / сведения о задатке] / заявка Кредитора (иного участника) отклонена по основанию, не предусмотренному законом, — [__] / победитель признан при наличии более высокого предложения участника [__] / на этапе публичного предложения цена снижена ниже цены отсечения / торги проведены до истечения срока приёма заявок / организатор торгов аффилирован с победителем]. В результате Имущество рыночной стоимостью [сумма] руб. продано за [сумма] руб., то есть в [__] раза дешевле.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Порядок продажи имущества должника.</w:t>
      </w:r>
      <w:r>
        <w:rPr>
          <w:rFonts w:ascii="Times New Roman" w:hAnsi="Times New Roman"/>
          <w:b w:val="0"/>
          <w:i w:val="0"/>
          <w:sz w:val="24"/>
        </w:rPr>
        <w:t xml:space="preserve"> Пунктом 3 статьи 213.26 Закона о банкротстве установлено: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 Абзацем первым пункта 9 статьи 110 Закона о банкротстве установлено: «Не позднее чем за тридцать дней до даты проведения торгов их организатор обязан опубликовать сообщение о продаже предприятия в порядке, установленном статьей 28 настоящего Федерального закона.» Пунктом 12 статьи 110 Закона о банкротстве предусмотрено: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Пунктом 15 статьи 110 Закона о банкротстве установлено: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[Пунктом 4 статьи 139 Закона о банкротстве предусмотрено: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pPr>
        <w:spacing w:after="120" w:line="276" w:lineRule="auto"/>
        <w:ind w:firstLine="709"/>
        <w:jc w:val="both"/>
      </w:pPr>
      <w:r>
        <w:rPr>
          <w:rFonts w:ascii="Times New Roman" w:hAnsi="Times New Roman"/>
          <w:b/>
          <w:i w:val="0"/>
          <w:sz w:val="24"/>
        </w:rPr>
        <w:t>Основания недействительности торгов.</w:t>
      </w:r>
      <w:r>
        <w:rPr>
          <w:rFonts w:ascii="Times New Roman" w:hAnsi="Times New Roman"/>
          <w:b w:val="0"/>
          <w:i w:val="0"/>
          <w:sz w:val="24"/>
        </w:rPr>
        <w:t xml:space="preserve"> Пунктом 1 статьи 449 ГК РФ установлено: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Пунктом 2 той же статьи предусмотрено: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настоящего Кодекса.» Пунктом 1 статьи 447 ГК РФ установлено: «Договор, если иное не вытекает из его существа, может быть заключен путем проведения торгов. Договор заключается с лицом, выигравшим торги.» Согласно пункту 4 статьи 447 ГК РФ «Выигравшим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pPr>
        <w:spacing w:after="120" w:line="276" w:lineRule="auto"/>
        <w:ind w:firstLine="709"/>
        <w:jc w:val="both"/>
      </w:pPr>
      <w:r>
        <w:rPr>
          <w:rFonts w:ascii="Times New Roman" w:hAnsi="Times New Roman"/>
          <w:b w:val="0"/>
          <w:i w:val="0"/>
          <w:sz w:val="24"/>
        </w:rPr>
        <w:t>Допущенные нарушения являются существенными: они [ограничили круг участников (сокращённый срок публикации, неполное сообщение, незаконный отказ в допуске) / повлекли неправильное определение победителя / привели к продаже по цене, не соответствующей рыночной], что непосредственно повлияло на результат торгов и нарушило права Кредитора на максимальное удовлетворение требований за счёт конкурсной массы [права заявителя как участника торгов на приобретение Имущества по справедливой цене]. По сложившейся практике торги признаются недействительными при существенном нарушении процедуры, повлиявшем на результат (пункт 1 статьи 449 ГК РФ), а также при аффилированности организатора и победителя и явном занижении цены (статьи 10, 168 ГК РФ, пункт 10 Постановления № 32: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w:t>
      </w:r>
    </w:p>
    <w:p>
      <w:pPr>
        <w:spacing w:after="120" w:line="276" w:lineRule="auto"/>
        <w:ind w:firstLine="709"/>
        <w:jc w:val="both"/>
      </w:pPr>
      <w:r>
        <w:rPr>
          <w:rFonts w:ascii="Times New Roman" w:hAnsi="Times New Roman"/>
          <w:b/>
          <w:i w:val="0"/>
          <w:sz w:val="24"/>
        </w:rPr>
        <w:t>Подсудность.</w:t>
      </w:r>
      <w:r>
        <w:rPr>
          <w:rFonts w:ascii="Times New Roman" w:hAnsi="Times New Roman"/>
          <w:b w:val="0"/>
          <w:i w:val="0"/>
          <w:sz w:val="24"/>
        </w:rPr>
        <w:t xml:space="preserve"> Пунктом 18 статьи 110 Закона о банкротстве и пунктом 1 статьи 61.8 Закона о банкротстве спор о торгах в деле о банкротстве рассматривается судом, рассматривающим дело о банкротстве: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ind w:firstLine="709"/>
        <w:jc w:val="both"/>
      </w:pPr>
      <w:r>
        <w:rPr>
          <w:rFonts w:ascii="Times New Roman" w:hAnsi="Times New Roman"/>
          <w:b/>
          <w:i w:val="0"/>
          <w:sz w:val="24"/>
        </w:rPr>
        <w:t>Заинтересованность заявителя.</w:t>
      </w:r>
      <w:r>
        <w:rPr>
          <w:rFonts w:ascii="Times New Roman" w:hAnsi="Times New Roman"/>
          <w:b w:val="0"/>
          <w:i w:val="0"/>
          <w:sz w:val="24"/>
        </w:rPr>
        <w:t xml:space="preserve"> Кредитор является лицом, участвующим в деле о банкротстве (статья 34 Закона о банкротстве), и его имущественный интерес состоит в формировании конкурсной массы по рыночной стоимости; незаконная продажа Имущества за [__] % стоимости уменьшила размер удовлетворения его требования на [сумма] руб. [Заявитель-участник торгов лишён возможности приобрести Имущество незаконным отклонением заявки.]</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Пунктом 1 статьи 449 ГК РФ установлен годичный срок со дня проведения торгов; торги проведены «[дата]», заявление подано в пределах срока.</w:t>
      </w:r>
    </w:p>
    <w:p>
      <w:pPr>
        <w:spacing w:after="120" w:line="276" w:lineRule="auto"/>
        <w:jc w:val="center"/>
      </w:pPr>
      <w:r>
        <w:rPr>
          <w:rFonts w:ascii="Times New Roman" w:hAnsi="Times New Roman"/>
          <w:b/>
          <w:i w:val="0"/>
          <w:sz w:val="24"/>
        </w:rPr>
        <w:t>III. Последствия недействительности</w:t>
      </w:r>
    </w:p>
    <w:p>
      <w:pPr>
        <w:spacing w:after="120" w:line="276" w:lineRule="auto"/>
        <w:ind w:firstLine="709"/>
        <w:jc w:val="both"/>
      </w:pPr>
      <w:r>
        <w:rPr>
          <w:rFonts w:ascii="Times New Roman" w:hAnsi="Times New Roman"/>
          <w:b w:val="0"/>
          <w:i w:val="0"/>
          <w:sz w:val="24"/>
        </w:rPr>
        <w:t>Признание торгов недействительными влечёт недействительность Договора (пункт 2 статьи 449 ГК РФ).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Имущество подлежит возврату в конкурсную массу, а уплаченная победителем цена — возврату ему за счёт конкурсной массы [в порядке пункта 3 статьи 61.6 Закона о банкротстве]. Повторные торги проводятся в соответствии с Положением.</w:t>
      </w:r>
    </w:p>
    <w:p>
      <w:pPr>
        <w:spacing w:after="120" w:line="276" w:lineRule="auto"/>
        <w:jc w:val="center"/>
      </w:pPr>
      <w:r>
        <w:rPr>
          <w:rFonts w:ascii="Times New Roman" w:hAnsi="Times New Roman"/>
          <w:b/>
          <w:i w:val="0"/>
          <w:sz w:val="24"/>
        </w:rPr>
        <w:t>IV.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победитель торгов может перепродать Имущество добросовестному приобретателю, что сделает невозможным его возврат в конкурсную массу. Испрашиваемая мера в виде запрета Управлению Росреестра по [субъект] совершать регистрационные действия в отношении Имущества (кадастровый номер [__]) и запрета победителю торгов распоряжаться Имуществом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447–449 Гражданского кодекса Российской Федерации, статьями 34, 60, 61.8, 110, 139, 213.26 Федерального закона «О несостоятельности (банкротстве)», статьями 90–92, 125, 126, 223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[Имущество, кадастровый номер]; запретить [наименование ответчика 1] распоряжаться Имуществом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торги по продаже [Имущество] Должника, проведённые «[дата]» на электронной площадке [наименование] (сообщение ЕФРСБ № [__]), и протокол о результатах торгов от «[дата]».</w:t>
      </w:r>
    </w:p>
    <w:p>
      <w:pPr>
        <w:spacing w:after="120" w:line="276" w:lineRule="auto"/>
        <w:ind w:firstLine="709"/>
        <w:jc w:val="both"/>
      </w:pPr>
      <w:r>
        <w:rPr>
          <w:rFonts w:ascii="Times New Roman" w:hAnsi="Times New Roman"/>
          <w:b w:val="0"/>
          <w:i w:val="0"/>
          <w:sz w:val="24"/>
        </w:rPr>
        <w:t>4. Признать недействительным договор купли-продажи от «[дата]» № [__], заключённый по результатам торгов между [Должником в лице финансового управляющего] и [наименование ответчика 1].</w:t>
      </w:r>
    </w:p>
    <w:p>
      <w:pPr>
        <w:spacing w:after="120" w:line="276" w:lineRule="auto"/>
        <w:ind w:firstLine="709"/>
        <w:jc w:val="both"/>
      </w:pPr>
      <w:r>
        <w:rPr>
          <w:rFonts w:ascii="Times New Roman" w:hAnsi="Times New Roman"/>
          <w:b w:val="0"/>
          <w:i w:val="0"/>
          <w:sz w:val="24"/>
        </w:rPr>
        <w:t>5. Применить последствия недействительности сделки: обязать [наименование ответчика 1] возвратить [Имущество] в конкурсную массу [Ф. И. О. Должника];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6. Взыскать с ответчиков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Положения о продаже и судебного акта (решения собрания) о его утверждении; сообщения ЕФРСБ о торгах и их результатах; протоколы определения участников и результатов торгов; Договор купли-продажи.</w:t>
      </w:r>
    </w:p>
    <w:p>
      <w:pPr>
        <w:spacing w:after="40" w:line="276" w:lineRule="auto"/>
        <w:jc w:val="left"/>
      </w:pPr>
      <w:r>
        <w:rPr>
          <w:rFonts w:ascii="Times New Roman" w:hAnsi="Times New Roman"/>
          <w:b w:val="0"/>
          <w:i w:val="0"/>
          <w:sz w:val="24"/>
        </w:rPr>
        <w:t>2. Доказательства нарушений: распечатки с электронной площадки, журнал заявок, отказ в допуске, переписка с организатором, сведения об аффилированности организатора и победителя (ЕГРЮЛ).</w:t>
      </w:r>
    </w:p>
    <w:p>
      <w:pPr>
        <w:spacing w:after="40" w:line="276" w:lineRule="auto"/>
        <w:jc w:val="left"/>
      </w:pPr>
      <w:r>
        <w:rPr>
          <w:rFonts w:ascii="Times New Roman" w:hAnsi="Times New Roman"/>
          <w:b w:val="0"/>
          <w:i w:val="0"/>
          <w:sz w:val="24"/>
        </w:rPr>
        <w:t>3. Отчёт об оценке рыночной стоимости Имущества на дату торгов.</w:t>
      </w:r>
    </w:p>
    <w:p>
      <w:pPr>
        <w:spacing w:after="40" w:line="276" w:lineRule="auto"/>
        <w:jc w:val="left"/>
      </w:pPr>
      <w:r>
        <w:rPr>
          <w:rFonts w:ascii="Times New Roman" w:hAnsi="Times New Roman"/>
          <w:b w:val="0"/>
          <w:i w:val="0"/>
          <w:sz w:val="24"/>
        </w:rPr>
        <w:t>4. Определение о включении требования заявителя в реестр [заявка и платёжное поручение о внесении задатка — для участника торгов].</w:t>
      </w:r>
    </w:p>
    <w:p>
      <w:pPr>
        <w:spacing w:after="40" w:line="276" w:lineRule="auto"/>
        <w:jc w:val="left"/>
      </w:pPr>
      <w:r>
        <w:rPr>
          <w:rFonts w:ascii="Times New Roman" w:hAnsi="Times New Roman"/>
          <w:b w:val="0"/>
          <w:i w:val="0"/>
          <w:sz w:val="24"/>
        </w:rPr>
        <w:t>5. Документ об уплате государственной пошлины; доказательства направления копии заявления ответчикам, Должнику и финансовому управляющему.</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Оспаривать торги вправе лица, чьи права нарушены: кредиторы, должник, участники торгов, лица, незаконно не допущенные к ним. Нарушения должны быть существенными и влиять на результат (п. 1 ст. 449 ГК РФ) — формальные неточности в сообщении суд не примет.</w:t>
      </w:r>
    </w:p>
    <w:p>
      <w:pPr>
        <w:spacing w:after="40" w:line="276" w:lineRule="auto"/>
        <w:jc w:val="both"/>
      </w:pPr>
      <w:r>
        <w:rPr>
          <w:rFonts w:ascii="Times New Roman" w:hAnsi="Times New Roman"/>
          <w:b w:val="0"/>
          <w:i/>
          <w:sz w:val="24"/>
        </w:rPr>
        <w:t>— Срок — один год со дня торгов (п. 1 ст. 449 ГК РФ). Параллельно можно подать жалобу в ФАС на организатора торгов (ст. 18.1 Закона о защите конкуренции), но она не заменяет судебного оспаривания.</w:t>
      </w:r>
    </w:p>
    <w:p>
      <w:pPr>
        <w:spacing w:after="40" w:line="276" w:lineRule="auto"/>
        <w:jc w:val="both"/>
      </w:pPr>
      <w:r>
        <w:rPr>
          <w:rFonts w:ascii="Times New Roman" w:hAnsi="Times New Roman"/>
          <w:b w:val="0"/>
          <w:i/>
          <w:sz w:val="24"/>
        </w:rPr>
        <w:t>— Ответчики — победитель торгов и организатор (управляющий или специализированная организация); должник и управляющий участвуют в споре в любом случае.</w:t>
      </w:r>
    </w:p>
    <w:p>
      <w:pPr>
        <w:spacing w:after="40" w:line="276" w:lineRule="auto"/>
        <w:jc w:val="both"/>
      </w:pPr>
      <w:r>
        <w:rPr>
          <w:rFonts w:ascii="Times New Roman" w:hAnsi="Times New Roman"/>
          <w:b w:val="0"/>
          <w:i/>
          <w:sz w:val="24"/>
        </w:rPr>
        <w:t>— Пошлина — как по спору о недействительности сделки: 7 500 руб. (должник-гражданин) или 25 000 руб. (организация) с учётом подп. 9 п. 1 ст. 333.21 НК РФ; за обеспечительные меры — 15 000 руб.</w:t>
      </w:r>
    </w:p>
    <w:p>
      <w:pPr>
        <w:spacing w:after="40" w:line="276" w:lineRule="auto"/>
        <w:jc w:val="both"/>
      </w:pPr>
      <w:r>
        <w:rPr>
          <w:rFonts w:ascii="Times New Roman" w:hAnsi="Times New Roman"/>
          <w:b w:val="0"/>
          <w:i/>
          <w:sz w:val="24"/>
        </w:rPr>
        <w:t>— Цитаты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