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(залоговый кредитор): </w:t>
      </w:r>
      <w:r>
        <w:rPr>
          <w:rFonts w:ascii="Times New Roman" w:hAnsi="Times New Roman"/>
          <w:b w:val="0"/>
          <w:i w:val="0"/>
          <w:sz w:val="24"/>
        </w:rPr>
        <w:t>[полное наименование банка / кредитора]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банковские реквизиты для перечисления: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Финансовый управляющий: </w:t>
      </w:r>
      <w:r>
        <w:rPr>
          <w:rFonts w:ascii="Times New Roman" w:hAnsi="Times New Roman"/>
          <w:b w:val="0"/>
          <w:i w:val="0"/>
          <w:sz w:val="24"/>
        </w:rP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если требование подтверждено вступившим в силу судебным актом (подп. 5 п. 1 ст. 333.37 НК РФ); иначе — [сумма] руб. (50 % пошлины по имущественному требованию: подп. 1 и 9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включении в реестр требований кредиторов требования как обеспеченного залогом имущества должника</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jc w:val="center"/>
      </w:pPr>
      <w:r>
        <w:rPr>
          <w:rFonts w:ascii="Times New Roman" w:hAnsi="Times New Roman"/>
          <w:b/>
          <w:i w:val="0"/>
          <w:sz w:val="24"/>
        </w:rPr>
        <w:t>I. Основание и размер требования</w:t>
      </w:r>
    </w:p>
    <w:p>
      <w:pPr>
        <w:spacing w:after="120" w:line="276" w:lineRule="auto"/>
        <w:ind w:firstLine="709"/>
        <w:jc w:val="both"/>
      </w:pPr>
      <w:r>
        <w:rPr>
          <w:rFonts w:ascii="Times New Roman" w:hAnsi="Times New Roman"/>
          <w:b w:val="0"/>
          <w:i w:val="0"/>
          <w:sz w:val="24"/>
        </w:rPr>
        <w:t>«[дата]» между заявителем и Должником заключён кредитный договор № [__] (далее — Кредитный договор) на сумму [сумма] руб. под [__] % годовых на срок до «[дата]» для приобретения [квартиры по адресу [__], кадастровый номер [__]] (далее — Предмет залога). Исполнение обязательств обеспечено залогом (ипотекой) Предмета залога [в силу закона — пункт 1 статьи 77 Федерального закона «Об ипотеке (залоге недвижимости)» / договором об ипотеке от «[дата]» № [__]]; ипотека зарегистрирована «[дата]» (запись № [__], выписка из ЕГРН прилагается) [закладная от «[дата]»]. [Для движимого имущества: залог автомобиля [марка], VIN [__], учтён в реестре уведомлений о залоге движимого имущества «[дата]» № [__].]</w:t>
      </w:r>
    </w:p>
    <w:p>
      <w:pPr>
        <w:spacing w:after="120" w:line="276" w:lineRule="auto"/>
        <w:ind w:firstLine="709"/>
        <w:jc w:val="both"/>
      </w:pPr>
      <w:r>
        <w:rPr>
          <w:rFonts w:ascii="Times New Roman" w:hAnsi="Times New Roman"/>
          <w:b w:val="0"/>
          <w:i w:val="0"/>
          <w:sz w:val="24"/>
        </w:rPr>
        <w:t>Должник прекратил платежи с «[дата]». По состоянию на дату введения процедуры («[дата]») задолженность составляет [сумма] руб.: основной долг — [сумма] руб., проценты — [сумма] руб., неустойка — [сумма] руб. (расчёт прилагается). [Решением [суд] от «[дата]» задолженность взыскана и обращено взыскание на Предмет залога.] Пунктом 1 статьи 4 Закона о банкротстве установлено: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дату подачи в арбитражный суд заявления о признании должника банкротом, если иное не предусмотрено настоящим Федеральным законом.»</w:t>
      </w:r>
    </w:p>
    <w:p>
      <w:pPr>
        <w:spacing w:after="120" w:line="276" w:lineRule="auto"/>
        <w:jc w:val="center"/>
      </w:pPr>
      <w:r>
        <w:rPr>
          <w:rFonts w:ascii="Times New Roman" w:hAnsi="Times New Roman"/>
          <w:b/>
          <w:i w:val="0"/>
          <w:sz w:val="24"/>
        </w:rPr>
        <w:t>II. Залоговый характер требования</w:t>
      </w:r>
    </w:p>
    <w:p>
      <w:pPr>
        <w:spacing w:after="120" w:line="276" w:lineRule="auto"/>
        <w:ind w:firstLine="709"/>
        <w:jc w:val="both"/>
      </w:pPr>
      <w:r>
        <w:rPr>
          <w:rFonts w:ascii="Times New Roman" w:hAnsi="Times New Roman"/>
          <w:b w:val="0"/>
          <w:i w:val="0"/>
          <w:sz w:val="24"/>
        </w:rPr>
        <w:t>Пунктом 1 статьи 334 ГК РФ установлено: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Статьёй 337 ГК РФ предусмотрено: «Если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 Пунктом 1 статьи 348 ГК РФ установлено: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 Предмет залога принадлежит Должнику (выписка из ЕГРН / сведения ГИБДД), сохранился в натуре, его рыночная стоимость — [сумма] руб. (отчёт об оценке / закладная). Залог не прекращён: обеспеченное обязательство не исполнено, Предмет залога не реализован.</w:t>
      </w:r>
    </w:p>
    <w:p>
      <w:pPr>
        <w:spacing w:after="120" w:line="276" w:lineRule="auto"/>
        <w:ind w:firstLine="709"/>
        <w:jc w:val="both"/>
      </w:pPr>
      <w:r>
        <w:rPr>
          <w:rFonts w:ascii="Times New Roman" w:hAnsi="Times New Roman"/>
          <w:b w:val="0"/>
          <w:i w:val="0"/>
          <w:sz w:val="24"/>
        </w:rPr>
        <w:t>Пунктом 7.1 статьи 16 Закона о банкротстве установлено: «Требования конкурсных кредиторов по обязательствам, обеспеченным залогом имущества должника, учитываются в реестре требований кредиторов в составе требований кредиторов третьей очереди.» Пунктом 5 статьи 213.27 Закона о банкротстве предусмотрен порядок распределения выручки от продажи предмета залога: «Восемьдесят процентов суммы, вырученной от реализации предмета залога, направляется на погашение требований кредитора по обязательствам, обеспеченным залогом имущества должника. Денежные средства, оставшиеся от суммы, вырученной от реализации предмета залога, вносятся на специальный банковский счет гражданина, открытый в соответствии со статьей 138 настоящего Федерального закона, в следующем порядке: десять процентов суммы, вырученной от реализации предмета залога, для погашения требований кредиторов первой и второй очереди в случае недостаточности иного имущества гражданина для погашения указанных требований; оставшиеся денежные средства для погашения судебных расходов, расходов на выплату вознаграждения финансовому управляющему, расходов на оплату услуг лиц, привлеченных финансовым управляющим в целях обеспечения исполнения возложенных на него обязанностей.» Пунктом 4 статьи 213.26 Закона о банкротстве установлено: «Продажа предмета залога осуществляется в порядке, установленном пунктами 4, 5, 8 - 19 статьи 110 и пунктом 3 статьи 111 настоящего Федерального закона, с учетом положений статьи 138 настоящего Федерального закона с особенностями, установленными настоящим пунктом. Начальная продажная цена предмета залога, порядок и условия проведения торгов определяются конкурсным кредитором, требования которого обеспечены залогом реализуемого имущества.»</w:t>
      </w:r>
    </w:p>
    <w:p>
      <w:pPr>
        <w:spacing w:after="120" w:line="276" w:lineRule="auto"/>
        <w:ind w:firstLine="709"/>
        <w:jc w:val="both"/>
      </w:pPr>
      <w:r>
        <w:rPr>
          <w:rFonts w:ascii="Times New Roman" w:hAnsi="Times New Roman"/>
          <w:b w:val="0"/>
          <w:i w:val="0"/>
          <w:sz w:val="24"/>
        </w:rPr>
        <w:t>Заявитель как залоговый кредитор вправе определить порядок и условия продажи Предмета залога и начальную продажную цену; соответствующее положение будет представлено финансовому управляющему [прилагается].</w:t>
      </w:r>
    </w:p>
    <w:p>
      <w:pPr>
        <w:spacing w:after="120" w:line="276" w:lineRule="auto"/>
        <w:jc w:val="center"/>
      </w:pPr>
      <w:r>
        <w:rPr>
          <w:rFonts w:ascii="Times New Roman" w:hAnsi="Times New Roman"/>
          <w:b/>
          <w:i w:val="0"/>
          <w:sz w:val="24"/>
        </w:rPr>
        <w:t>III. Порядок и срок предъявления</w:t>
      </w:r>
    </w:p>
    <w:p>
      <w:pPr>
        <w:spacing w:after="120" w:line="276" w:lineRule="auto"/>
        <w:ind w:firstLine="709"/>
        <w:jc w:val="both"/>
      </w:pPr>
      <w:r>
        <w:rPr>
          <w:rFonts w:ascii="Times New Roman" w:hAnsi="Times New Roman"/>
          <w:b w:val="0"/>
          <w:i w:val="0"/>
          <w:sz w:val="24"/>
        </w:rPr>
        <w:t>Пунктом 2 статьи 213.8 Закона о банкротстве установлено: «Для целей включения в реестр требований кредиторов и участия в первом собрании кредиторов конкурсные кредиторы, в том числе кредиторы, требования которых обеспечены залогом имущества гражданина,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 установленном статьей 213.7 настоящего Федерального закона. В случае пропуска указанного срока по уважительной причине он может быть восстановлен арбитражным судом.» [Пунктом 4 статьи 213.24 Закона о банкротстве предусмотрено: «В ходе процедуры реализации имущества гражданина требования конкурсных кредиторов и уполномоченного органа подлежат рассмотрению в порядке, предусмотренном статьей 100 настоящего Федерального закона. Пропущенный кредитором по уважительной причине срок закрытия реестра может быть восстановлен арбитражным судом.»] Публикация о введении процедуры — «[дата]»; требование заявлено в срок. Пунктом 3 статьи 137 Закона о банкротстве предусмотрено: «Требования кредиторов третьей очереди по возмещению убытков в форме упущенной выгоды, взысканию неустоек (штрафов, пеней) и иных финансовых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 Пунктом 4 той же статьи установлено: «Особенности учета и удовлетворения требований кредиторов третьей очереди по обязательствам, обеспеченным залогом имущества должника, определяются статьей 138 настоящего Федерального закона.»</w:t>
      </w:r>
    </w:p>
    <w:p>
      <w:pPr>
        <w:spacing w:after="120" w:line="276" w:lineRule="auto"/>
        <w:ind w:firstLine="709"/>
        <w:jc w:val="both"/>
      </w:pPr>
      <w:r>
        <w:rPr>
          <w:rFonts w:ascii="Times New Roman" w:hAnsi="Times New Roman"/>
          <w:b w:val="0"/>
          <w:i w:val="0"/>
          <w:sz w:val="24"/>
        </w:rPr>
        <w:t>Залоговый кредитор имеет право голоса на собрании кредиторов в ходе процедур банкротства гражданина (абзацы седьмой — восьмой пункта 1 статьи 12 Закона о банкротстве: «в ходе реструктуризации долгов гражданина; в ходе реализации имущества гражданина.»).</w:t>
      </w:r>
    </w:p>
    <w:p>
      <w:pPr>
        <w:spacing w:after="120" w:line="276" w:lineRule="auto"/>
        <w:ind w:firstLine="709"/>
        <w:jc w:val="both"/>
      </w:pPr>
      <w:r>
        <w:rPr>
          <w:rFonts w:ascii="Times New Roman" w:hAnsi="Times New Roman"/>
          <w:b w:val="0"/>
          <w:i w:val="0"/>
          <w:sz w:val="24"/>
        </w:rPr>
        <w:t>[</w:t>
      </w:r>
      <w:r>
        <w:rPr>
          <w:rFonts w:ascii="Times New Roman" w:hAnsi="Times New Roman"/>
          <w:b/>
          <w:i w:val="0"/>
          <w:sz w:val="24"/>
        </w:rPr>
        <w:t>Единственное жильё.</w:t>
      </w:r>
      <w:r>
        <w:rPr>
          <w:rFonts w:ascii="Times New Roman" w:hAnsi="Times New Roman"/>
          <w:b w:val="0"/>
          <w:i w:val="0"/>
          <w:sz w:val="24"/>
        </w:rPr>
        <w:t xml:space="preserve"> Предмет залога является единственным пригодным для проживания жилым помещением Должника; исполнительский иммунитет на ипотечное жильё не распространяется (абзац второй части 1 статьи 446 ГПК РФ: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 поэтому Предмет залога подлежит включению в конкурсную массу и реализации с распределением выручки по пункту 5 статьи 213.27 Закона о банкротстве. Пунктом 5 постановления Пленума Верховного Суда Российской Федерации от 25.12.2018 № 48 разъяснено: «Исходя из особенностей правового статуса единственного пригодного для постоянного проживания жилого помещения, находящегося в залоге, судам необходимо учитывать следующее.» Заявитель требование как обеспеченное залогом предъявляет в срок.]</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Подпунктом 5 пункта 1 статьи 333.37 НК РФ от уплаты пошлины освобождены «кредиторы - по требованиям о включении в реестр требований кредиторов в деле о несостоятельности (банкротстве), если их требования подтверждены вступившими в законную силу судебными актами.» [Требование заявителя подтверждено решением суда от «[дата]», поэтому пошлина не уплачивается.] [Иначе пошлина уплачивается с учётом подпунктов 1 и 9 пункта 1 статьи 333.21 НК РФ: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12, 16, 71, 137, 138, 213.8, 213.10, 213.24, 213.26, 213.27 Федерального закона «О несостоятельности (банкротстве)», статьями 334, 337, 348 Гражданского кодекса Российской Федерации, статьёй 223 Арбитражного процессуального кодекса Российской Федерации, заявитель</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Включить в третью очередь реестра требований кредиторов [Ф. И. О. Должника] требование [наименование заявителя] в размере [сумма] руб., в том числе [сумма] руб. основного долга и [сумма] руб. процентов, как обеспеченное залогом имущества должника — [Предмет залога, кадастровый номер / VIN].</w:t>
      </w:r>
    </w:p>
    <w:p>
      <w:pPr>
        <w:spacing w:after="120" w:line="276" w:lineRule="auto"/>
        <w:ind w:firstLine="709"/>
        <w:jc w:val="both"/>
      </w:pPr>
      <w:r>
        <w:rPr>
          <w:rFonts w:ascii="Times New Roman" w:hAnsi="Times New Roman"/>
          <w:b w:val="0"/>
          <w:i w:val="0"/>
          <w:sz w:val="24"/>
        </w:rPr>
        <w:t>2. Включить в третью очередь реестра требований кредиторов [Ф. И. О. Должника] требование [наименование заявителя] в размере [сумма] руб. неустойки как обеспеченное залогом имущества должника с учётом пункта 3 статьи 137 Закона о банкротстве.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кредитного договора, договора об ипотеке (залоге), закладной; выписка из ЕГРН о зарегистрированной ипотеке [уведомление о залоге движимого имущества].</w:t>
      </w:r>
    </w:p>
    <w:p>
      <w:pPr>
        <w:spacing w:after="40" w:line="276" w:lineRule="auto"/>
        <w:jc w:val="left"/>
      </w:pPr>
      <w:r>
        <w:rPr>
          <w:rFonts w:ascii="Times New Roman" w:hAnsi="Times New Roman"/>
          <w:b w:val="0"/>
          <w:i w:val="0"/>
          <w:sz w:val="24"/>
        </w:rPr>
        <w:t>2. Выписка по ссудному счёту о выдаче кредита и платежах; расчёт задолженности на дату введения процедуры.</w:t>
      </w:r>
    </w:p>
    <w:p>
      <w:pPr>
        <w:spacing w:after="40" w:line="276" w:lineRule="auto"/>
        <w:jc w:val="left"/>
      </w:pPr>
      <w:r>
        <w:rPr>
          <w:rFonts w:ascii="Times New Roman" w:hAnsi="Times New Roman"/>
          <w:b w:val="0"/>
          <w:i w:val="0"/>
          <w:sz w:val="24"/>
        </w:rPr>
        <w:t>3. [Решение суда о взыскании и об обращении взыскания на предмет залога; исполнительный лист.]</w:t>
      </w:r>
    </w:p>
    <w:p>
      <w:pPr>
        <w:spacing w:after="40" w:line="276" w:lineRule="auto"/>
        <w:jc w:val="left"/>
      </w:pPr>
      <w:r>
        <w:rPr>
          <w:rFonts w:ascii="Times New Roman" w:hAnsi="Times New Roman"/>
          <w:b w:val="0"/>
          <w:i w:val="0"/>
          <w:sz w:val="24"/>
        </w:rPr>
        <w:t>4. Отчёт об оценке (сведения о стоимости) предмета залога; проект положения о порядке продажи предмета залога.</w:t>
      </w:r>
    </w:p>
    <w:p>
      <w:pPr>
        <w:spacing w:after="40" w:line="276" w:lineRule="auto"/>
        <w:jc w:val="left"/>
      </w:pPr>
      <w:r>
        <w:rPr>
          <w:rFonts w:ascii="Times New Roman" w:hAnsi="Times New Roman"/>
          <w:b w:val="0"/>
          <w:i w:val="0"/>
          <w:sz w:val="24"/>
        </w:rPr>
        <w:t>5. Документ об уплате государственной пошлины; выписка из ЕГРЮЛ; доверенность представителя.</w:t>
      </w:r>
    </w:p>
    <w:p>
      <w:pPr>
        <w:spacing w:after="40" w:line="276" w:lineRule="auto"/>
        <w:jc w:val="left"/>
      </w:pPr>
      <w:r>
        <w:rPr>
          <w:rFonts w:ascii="Times New Roman" w:hAnsi="Times New Roman"/>
          <w:b w:val="0"/>
          <w:i w:val="0"/>
          <w:sz w:val="24"/>
        </w:rPr>
        <w:t>6. Доказательства направления копии заявления Должнику и финансовому управляющему.</w:t>
      </w:r>
    </w:p>
    <w:p>
      <w:pPr>
        <w:spacing w:after="0" w:line="276" w:lineRule="auto" w:before="360"/>
        <w:jc w:val="left"/>
      </w:pPr>
      <w:r>
        <w:rPr>
          <w:rFonts w:ascii="Times New Roman" w:hAnsi="Times New Roman"/>
          <w:b w:val="0"/>
          <w:i w:val="0"/>
          <w:sz w:val="24"/>
        </w:rPr>
        <w:t>«___» __________ 20__ г.</w:t>
        <w:tab/>
        <w:tab/>
        <w:tab/>
        <w:tab/>
        <w:t>__________________ / [Ф. И. О., должность]</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Залоговый статус требования устанавливается только по заявлению кредитора и при наличии предмета залога в натуре у должника — приложите актуальную выписку ЕГРН (сведения ГИБДД). Если предмет залога утрачен, требование включается как незалоговое.</w:t>
      </w:r>
    </w:p>
    <w:p>
      <w:pPr>
        <w:spacing w:after="40" w:line="276" w:lineRule="auto"/>
        <w:jc w:val="both"/>
      </w:pPr>
      <w:r>
        <w:rPr>
          <w:rFonts w:ascii="Times New Roman" w:hAnsi="Times New Roman"/>
          <w:b w:val="0"/>
          <w:i/>
          <w:sz w:val="24"/>
        </w:rPr>
        <w:t>— Срок тот же — два месяца с публикации; при пропуске залоговый кредитор утрачивает специальные права по п. 4 ст. 142 и п. 4 ст. 138 (Постановление Пленума ВАС РФ № 58 от 23.07.2009, п. 4), хотя сам залог сохраняется.</w:t>
      </w:r>
    </w:p>
    <w:p>
      <w:pPr>
        <w:spacing w:after="40" w:line="276" w:lineRule="auto"/>
        <w:jc w:val="both"/>
      </w:pPr>
      <w:r>
        <w:rPr>
          <w:rFonts w:ascii="Times New Roman" w:hAnsi="Times New Roman"/>
          <w:b w:val="0"/>
          <w:i/>
          <w:sz w:val="24"/>
        </w:rPr>
        <w:t>— Ипотечное единственное жильё включается в конкурсную массу, если залоговый кредитор заявил требование; при его отказе от требования жильё может сохраниться за должником (п. 5 Пленума № 48). С 2024 года возможно утверждение мирового соглашения (плана) с сохранением ипотечного жилья — ст. 213.10-1 Закона о банкротстве.</w:t>
      </w:r>
    </w:p>
    <w:p>
      <w:pPr>
        <w:spacing w:after="40" w:line="276" w:lineRule="auto"/>
        <w:jc w:val="both"/>
      </w:pPr>
      <w:r>
        <w:rPr>
          <w:rFonts w:ascii="Times New Roman" w:hAnsi="Times New Roman"/>
          <w:b w:val="0"/>
          <w:i/>
          <w:sz w:val="24"/>
        </w:rPr>
        <w:t>— Из выручки от продажи предмета залога 80 % идёт залоговому кредитору, 10 % — кредиторам первой и второй очереди, остаток — на расходы (п. 5 ст. 213.27).</w:t>
      </w:r>
    </w:p>
    <w:p>
      <w:pPr>
        <w:spacing w:after="40" w:line="276" w:lineRule="auto"/>
        <w:jc w:val="both"/>
      </w:pPr>
      <w:r>
        <w:rPr>
          <w:rFonts w:ascii="Times New Roman" w:hAnsi="Times New Roman"/>
          <w:b w:val="0"/>
          <w:i/>
          <w:sz w:val="24"/>
        </w:rPr>
        <w:t>— Цитаты закона и Пленума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