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line="276" w:lineRule="auto"/>
        <w:jc w:val="right"/>
      </w:pPr>
      <w:r>
        <w:rPr>
          <w:rFonts w:ascii="Times New Roman" w:hAnsi="Times New Roman"/>
          <w:b w:val="0"/>
          <w:i w:val="0"/>
          <w:sz w:val="24"/>
        </w:rPr>
        <w:t>В Арбитражный суд [наименование субъекта Российской Федерации]</w:t>
      </w:r>
      <w:r>
        <w:rPr>
          <w:rFonts w:ascii="Times New Roman" w:hAnsi="Times New Roman"/>
          <w:b w:val="0"/>
          <w:i w:val="0"/>
          <w:sz w:val="24"/>
        </w:rPr>
        <w:br/>
        <w:t>[адрес суда]</w:t>
      </w:r>
      <w:r>
        <w:rPr>
          <w:rFonts w:ascii="Times New Roman" w:hAnsi="Times New Roman"/>
          <w:b w:val="0"/>
          <w:i w:val="0"/>
          <w:sz w:val="24"/>
        </w:rPr>
        <w:br/>
        <w:t>Дело № А[__]-[_____]/20[__]</w:t>
      </w:r>
      <w:r>
        <w:rPr>
          <w:rFonts w:ascii="Times New Roman" w:hAnsi="Times New Roman"/>
          <w:b w:val="0"/>
          <w:i w:val="0"/>
          <w:sz w:val="24"/>
        </w:rPr>
        <w:br/>
        <w:t>Судья [Ф. И. О.]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Заявитель (должник): </w:t>
      </w:r>
      <w:r>
        <w:rPr>
          <w:rFonts w:ascii="Times New Roman" w:hAnsi="Times New Roman"/>
          <w:b w:val="0"/>
          <w:i w:val="0"/>
          <w:sz w:val="24"/>
        </w:rPr>
        <w:t>[Ф. И. О. должника]</w:t>
      </w:r>
      <w:r>
        <w:rPr>
          <w:rFonts w:ascii="Times New Roman" w:hAnsi="Times New Roman"/>
          <w:b w:val="0"/>
          <w:i w:val="0"/>
          <w:sz w:val="24"/>
        </w:rPr>
        <w:br/>
        <w:t>дата и место рождения: [__________]</w:t>
      </w:r>
      <w:r>
        <w:rPr>
          <w:rFonts w:ascii="Times New Roman" w:hAnsi="Times New Roman"/>
          <w:b w:val="0"/>
          <w:i w:val="0"/>
          <w:sz w:val="24"/>
        </w:rPr>
        <w:br/>
        <w:t>ИНН [__________], СНИЛС [__________]</w:t>
      </w:r>
      <w:r>
        <w:rPr>
          <w:rFonts w:ascii="Times New Roman" w:hAnsi="Times New Roman"/>
          <w:b w:val="0"/>
          <w:i w:val="0"/>
          <w:sz w:val="24"/>
        </w:rPr>
        <w:br/>
        <w:t>адрес: [место жительства]</w:t>
      </w:r>
      <w:r>
        <w:rPr>
          <w:rFonts w:ascii="Times New Roman" w:hAnsi="Times New Roman"/>
          <w:b w:val="0"/>
          <w:i w:val="0"/>
          <w:sz w:val="24"/>
        </w:rPr>
        <w:br/>
        <w:t>телефон: [__________], адрес электронной почты: [__________]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Финансовый управляющий: </w:t>
      </w:r>
      <w:r>
        <w:rPr>
          <w:rFonts w:ascii="Times New Roman" w:hAnsi="Times New Roman"/>
          <w:b w:val="0"/>
          <w:i w:val="0"/>
          <w:sz w:val="24"/>
        </w:rPr>
        <w:t>[Ф. И. О. финансового управляющего]</w:t>
      </w:r>
      <w:r>
        <w:rPr>
          <w:rFonts w:ascii="Times New Roman" w:hAnsi="Times New Roman"/>
          <w:b w:val="0"/>
          <w:i w:val="0"/>
          <w:sz w:val="24"/>
        </w:rPr>
        <w:br/>
        <w:t>ИНН [__________], СНИЛС [__________], номер в сводном реестре арбитражных управляющих [_____]</w:t>
      </w:r>
      <w:r>
        <w:rPr>
          <w:rFonts w:ascii="Times New Roman" w:hAnsi="Times New Roman"/>
          <w:b w:val="0"/>
          <w:i w:val="0"/>
          <w:sz w:val="24"/>
        </w:rPr>
        <w:br/>
        <w:t>член [наименование СРО арбитражных управляющих] (ОГРН [__________], ИНН [__________], адрес: [__________])</w:t>
      </w:r>
      <w:r>
        <w:rPr>
          <w:rFonts w:ascii="Times New Roman" w:hAnsi="Times New Roman"/>
          <w:b w:val="0"/>
          <w:i w:val="0"/>
          <w:sz w:val="24"/>
        </w:rPr>
        <w:br/>
        <w:t>адрес для корреспонденции: [__________]</w:t>
      </w:r>
      <w:r>
        <w:rPr>
          <w:rFonts w:ascii="Times New Roman" w:hAnsi="Times New Roman"/>
          <w:b w:val="0"/>
          <w:i w:val="0"/>
          <w:sz w:val="24"/>
        </w:rPr>
        <w:br/>
        <w:t>телефон: [__________], адрес электронной почты: [__________]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Госпошлина: </w:t>
      </w:r>
      <w:r>
        <w:rPr>
          <w:rFonts w:ascii="Times New Roman" w:hAnsi="Times New Roman"/>
          <w:b w:val="0"/>
          <w:i w:val="0"/>
          <w:sz w:val="24"/>
        </w:rPr>
        <w:t>не уплачивается (подп. 4 п. 1 ст. 333.37 НК РФ: гражданин-должник освобождён от пошлины по обособленным спорам, связанным с формированием конкурсной массы)</w:t>
      </w:r>
    </w:p>
    <w:p>
      <w:pPr>
        <w:spacing w:after="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ЗАЯВЛЕНИЕ</w:t>
      </w:r>
    </w:p>
    <w:p>
      <w:pPr>
        <w:spacing w:after="24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об исключении из конкурсной массы жилого помещения, являющегося единственным пригодным для постоянного проживания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Решением Арбитражного суда [наименование] от «[дата]» (резолютивная часть объявлена «[дата]») по делу № А[__]-[_____]/20[__] [Ф. И. О.] (далее — Должник) признан(а) несостоятельным (банкротом), введена процедура реализации имущества гражданина, финансовым управляющим утверждён [Ф. И. О.] (далее — Финансовый управляющий). Заявление о признании Должника банкротом [подано кредитором [наименование] / самим Должником] «[дата]» и принято к производству определением суда от «[дата]» (далее — дата принятия заявления о банкротстве). В реестр требований кредиторов включены требования на общую сумму [сумма] руб., в том числе [кредитор] — [сумма] руб. (определение от «[дата]»), [уполномоченный орган] — [сумма] руб.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I. Жилищные условия заявителя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Заявителю на праве собственности принадлежит [квартира / жилой дом] площадью [__] кв. м по адресу: [__], кадастровый номер [__] (далее — Жилое помещение); [земельный участок под домом площадью [__] кв. м, кадастровый номер [__]]. Право зарегистрировано «[дата]» на основании [договора купли-продажи / приватизации / наследования]. В Жилом помещении зарегистрированы и постоянно проживают заявитель и члены его семьи: [супруг Ф. И. О., дети Ф. И. О., даты рождения] (адресная справка, выписка из домовой книги). Иных жилых помещений в собственности [пользовании по договору социального найма] у заявителя и членов его семьи нет (выписки из ЕГРН о правах — приложения). Жилое помещение не обременено ипотекой (выписка из ЕГРН). [Площадь Жилого помещения ([__] кв. м на [__] человек) не превышает [незначительно превышает] норму предоставления жилья в [субъект] ([__] кв. м на человека).]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Финансовый управляющий «[дата]» включил Жилое помещение в опись имущества [предложил собранию кредиторов положение о его продаже], что нарушает права заявителя и членов его семьи на жилище.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II. Правовое обоснование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Подпунктом 4 пункта 1 статьи 333.37 НК РФ установлено, что от уплаты государственной пошлины освобождаются «граждане, в отношении которых введена процедура, применяемая в деле о несостоятельности (банкротстве), - по обособленным спорам, связанным с освобождением от обязательств перед кредиторами, формированием конкурсной массы и реестра требований кредиторов, в деле об их несостоятельности (банкротстве)».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Пунктом 3 статьи 213.25 Федерального закона от 26.10.2002 № 127-ФЗ «О несостоятельности (банкротстве)» (далее — Закон о банкротстве) установлено: «Из конкурсной массы финансовым управляющим исключается имущество, на которое не может быть обращено взыскание в соответствии с гражданским процессуальным законодательством. Разногласия между финансовым управляющим, должником и лицами, участвующими в деле о банкротстве, в отношении указанного имущества рассматриваются в порядке, установленном пунктом 2 статьи 60 настоящего Федерального закона.» Частью 1 статьи 446 Гражданского процессуального кодекса Российской Федерации установлено: «Взыскание по исполнительным документам не может быть обращено на следующее имущество, принадлежащее гражданину-должнику на праве собственности: жилое помещение (его части), если для гражданина-должника и членов его семьи, совместно проживающих в принадлежащем помещении, оно является единственным пригодным для постоянного проживания помещением, за исключением указанного в настоящем абзаце имущества, если оно является предметом ипотеки и на него в соответствии с законодательством об ипотеке может быть обращено взыскание; земельные участки, на которых расположены объекты, указанные в абзаце втором настоящей части, за исключением указанного в настоящем абзаце имущества, если оно является предметом ипотеки и на него в соответствии с законодательством об ипотеке может быть обращено взыскание».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Пунктом 3 постановления Пленума Верховного Суда Российской Федерации от 25.12.2018 № 48 (далее — Постановление № 48) разъяснено: «Исполнительский иммунитет в отношении единственного пригодного для постоянного проживания жилого помещения, не обремененного ипотекой, действует и в ситуации банкротства должника (пункт 3 статьи 213.25 Закона о банкротстве, абзац второй части 1 статьи 446 ГПК РФ). При наличии у должника нескольких жилых помещений, принадлежащих ему на праве собственности, помещение, в отношении которого предоставляется исполнительский иммунитет, определяется судом, рассматривающим дело о банкротстве, исходя из необходимости как удовлетворения требований кредиторов, так и защиты конституционного права на жилище самого гражданина-должника и членов его семьи, в том числе находящихся на его иждивении несовершеннолетних, престарелых, инвалидов, обеспечения указанным лицам нормальных условий существования и гарантий их социально-экономических прав.» Пунктом 1 Постановления № 48 предусмотрено: «Из конкурсной массы исключается имущество, на которое не может быть обращено взыскание в соответствии с гражданским процессуальным законодательством, в том числе деньги в размере установленной величины прожиточного минимума, приходящейся на самого гражданина-должника и лиц, находящихся на его иждивении (абзац первый пункта 3 статьи 213.25 Закона о банкротстве, статья 446 Гражданского процессуального кодекса Российской Федерации (далее - ГПК РФ). При наличии разногласий между финансовым управляющим, должником и лицами, участвующими в деле о банкротстве, относительно указанных имущества, выплат и (или) их размера любое из названных лиц вправе обратиться в арбитражный суд, рассматривающий дело о банкротстве, с заявлением о разрешении возникших разногласий. По результатам рассмотрения соответствующих разногласий суд выносит определение (пункт 1 статьи 60, абзац второй пункта 3 статьи 213.25 Закона о банкротстве).»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Конституционный Суд Российской Федерации в постановлении от 26.04.2021 № 15-П указал, что отказ в применении исполнительского иммунитета возможен лишь в случае, когда жилое помещение по своим характеристикам явно превышает разумно достаточный уровень обеспеченности жильём, а должник злоупотреблял правом (например, приобрёл жильё за счёт средств, выведенных от кредиторов); при этом должнику и членам его семьи должно быть гарантировано предоставление замещающего жилья в том же населённом пункте площадью не менее нормы предоставления, а рыночная стоимость спорного жилья должна существенно превышать стоимость замещающего так, чтобы продажа дала значимое для кредиторов пополнение массы (постановление Конституционного Суда Российской Федерации от 14.05.2012 № 11-П; определение Верховного Суда Российской Федерации от 26.07.2021 № 303-ЭС20-18761).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Жилое помещение заявителя не является «роскошным»: его площадь и стоимость ([сумма] руб. по кадастровой оценке) соответствуют обычному уровню обеспеченности жильём семьи из [__] человек в [населённый пункт]; приобретено [в [год] — задолго до возникновения долгов / на средства от продажи наследственного жилья], признаков злоупотребления нет. Стоимость Жилого помещения за вычетом стоимости замещающего жилья не даст значимого пополнения конкурсной массы, а продажа лишит семью, в том числе несовершеннолетних детей, единственного жилья.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Пунктом 4 Постановления № 48 разъяснено: «Целью оспаривания сделок в рамках дела о банкротстве является возврат в конкурсную массу того имущества, которое может быть реализовано для удовлетворения требований кредиторов. Поэтому не подлежит признанию недействительной сделка, направленная на отчуждение должником жилого помещения, если на момент рассмотрения спора в данном помещении продолжают совместно проживать должник и члены его семьи и при возврате помещения в конкурсную массу оно будет защищено исполнительским иммунитетом (статья 446 ГПК РФ).» Таким образом, законодатель и судебная практика исходят из безусловного приоритета защиты единственного жилья, не обременённого ипотекой.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Разногласия между должником и финансовым управляющим относительно имущества, исключаемого из конкурсной массы, разрешаются арбитражным судом (абзац второй пункта 3 статьи 213.25 Закона о банкротстве) в порядке статьи 60 Закона о банкротстве: «Заявления и ходатайства, в том числе о разногласиях, возникших между арбитражным управляющим, кредиторами и (или) должником, жалобы кредиторов на нарушение их прав и законных интересов, жалобы на действия (бездействие) арбитражных управляющих, на решения собрания или комитета кредиторов, иные обособленные споры по заявлениям лиц, участвующих в деле о банкротстве и в арбитражном процессе по делу о банкротстве, рассматриваются в заседании арбитражного суда не позднее чем через один месяц с даты получения указанных заявлений, ходатайств и жалоб, если иное не установлено настоящим Федеральным законом.»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На основании изложенного, руководствуясь статьями 60, 213.25 Федерального закона «О несостоятельности (банкротстве)», статьёй 446 Гражданского процессуального кодекса Российской Федерации, статьёй 223 Арбитражного процессуального кодекса Российской Федерации, заявитель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ПРОШУ: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1. Исключить из конкурсной массы [Ф. И. О. заявителя] [квартиру / жилой дом] площадью [__] кв. м по адресу: [__], кадастровый номер [__] [и земельный участок площадью [__] кв. м, кадастровый номер [__], на котором расположен дом], как единственное пригодное для постоянного проживания жилое помещение, на которое не может быть обращено взыскание.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2. [Признать незаконными действия финансового управляющего по включению указанного имущества в положение о порядке продажи имущества должника.]</w:t>
      </w:r>
    </w:p>
    <w:p>
      <w:pPr>
        <w:spacing w:after="120" w:line="276" w:lineRule="auto"/>
        <w:jc w:val="left"/>
      </w:pPr>
      <w:r>
        <w:rPr>
          <w:rFonts w:ascii="Times New Roman" w:hAnsi="Times New Roman"/>
          <w:b/>
          <w:i w:val="0"/>
          <w:sz w:val="24"/>
        </w:rPr>
        <w:t>Приложение: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1. Выписки из ЕГРН о Жилом помещении (и участке) и о правах заявителя и членов семьи на все объекты недвижимости в Российской Федерации.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2. Адресная справка (выписка из домовой книги) о зарегистрированных лицах; свидетельства о браке и рождении детей.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3. Сведения о кадастровой (рыночной) стоимости Жилого помещения; документ-основание приобретения права.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4. Нормативный акт о норме предоставления жилья в субъекте (муниципальном образовании).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5. Опись имущества (положение о продаже) финансового управляющего; переписка с управляющим.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6. Доказательства направления копии заявления финансовому управляющему и кредиторам.</w:t>
      </w:r>
    </w:p>
    <w:p>
      <w:pPr>
        <w:spacing w:after="0" w:line="276" w:lineRule="auto" w:before="360"/>
        <w:jc w:val="left"/>
      </w:pPr>
      <w:r>
        <w:rPr>
          <w:rFonts w:ascii="Times New Roman" w:hAnsi="Times New Roman"/>
          <w:b w:val="0"/>
          <w:i w:val="0"/>
          <w:sz w:val="24"/>
        </w:rPr>
        <w:t>«___» __________ 20__ г.</w:t>
        <w:tab/>
        <w:tab/>
        <w:tab/>
        <w:tab/>
        <w:t>__________________ / [Ф. И. О.]</w:t>
      </w:r>
    </w:p>
    <w:p>
      <w:pPr>
        <w:spacing w:after="40" w:line="276" w:lineRule="auto" w:before="360"/>
        <w:jc w:val="left"/>
      </w:pPr>
      <w:r>
        <w:rPr>
          <w:rFonts w:ascii="Times New Roman" w:hAnsi="Times New Roman"/>
          <w:b/>
          <w:i/>
          <w:sz w:val="24"/>
        </w:rPr>
        <w:t>Пояснения к шаблону (удалите перед подачей):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Иммунитет не действует на ипотечное жильё, если залоговый кредитор заявил требование (п. 5 Пленума № 48); для него — отдельные механизмы (мировое соглашение с сохранением жилья, ст. 213.10-1 Закона о банкротстве).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При наличии нескольких жилых помещений иммунитет распространяется на одно по выбору должника с учётом интересов кредиторов (п. 3 Пленума № 48) — просите исключить то, где фактически живёт семья.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Кредиторы могут требовать продажи «роскошного» жилья с предоставлением замещающего (КС РФ № 15-П от 26.04.2021). Опровергайте «роскошность» нормой предоставления, стоимостью и отсутствием злоупотреблений при приобретении.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Если жильё подарено или продано должником перед банкротством и возвращено в массу, а семья продолжает в нём жить, — иммунитет также применяется (п. 4 Пленума № 48).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Цитаты закона и Пленума приведены дословно в действующей редакции (сверено с КонсультантПлюс 17.10.2026). Квадратные скобки — места для ваших данных.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