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доплата не требуется (пошлина уплачена при подаче заявления об оспаривании сделки; подп. 8 п. 1 ст. 333.22 НК РФ)</w:t>
      </w:r>
    </w:p>
    <w:p>
      <w:pPr>
        <w:spacing w:after="0" w:line="276" w:lineRule="auto"/>
        <w:jc w:val="center"/>
      </w:pPr>
      <w:r>
        <w:rPr>
          <w:rFonts w:ascii="Times New Roman" w:hAnsi="Times New Roman"/>
          <w:b/>
          <w:i w:val="0"/>
          <w:sz w:val="24"/>
        </w:rPr>
        <w:t>УТОЧНЕНИЕ</w:t>
      </w:r>
    </w:p>
    <w:p>
      <w:pPr>
        <w:spacing w:after="240" w:line="276" w:lineRule="auto"/>
        <w:jc w:val="center"/>
      </w:pPr>
      <w:r>
        <w:rPr>
          <w:rFonts w:ascii="Times New Roman" w:hAnsi="Times New Roman"/>
          <w:b/>
          <w:i w:val="0"/>
          <w:sz w:val="24"/>
        </w:rPr>
        <w:t>правовой позиции и требований по заявлению о признании сделки должника недействительной (в порядке статьи 49 АПК РФ)</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val="0"/>
          <w:i w:val="0"/>
          <w:sz w:val="24"/>
        </w:rPr>
        <w:t>«[дата]» Финансовый управляющий обратился с заявлением о признании недействительным [договора дарения] от «[дата]» между Должником и [Ф. И. О. ответчика] в отношении [объект, кадастровый номер] (далее — Объект) по основаниям пункта 2 статьи 61.2 Закона о банкротстве и статей 10, 168 ГК РФ с требованием о возврате Объекта в конкурсную массу (обособленный спор № [__]). Определением от «[дата]» заявление принято, судебное заседание назначено на «[дата]». В ходе подготовки получены [выписки ЕГРН о переходе прав / ответ ГИБДД / судебные акты по делу о банкротстве ООО «[__]»], требующие уточнения оснований и требований.</w:t>
      </w:r>
    </w:p>
    <w:p>
      <w:pPr>
        <w:spacing w:after="120" w:line="276" w:lineRule="auto"/>
        <w:jc w:val="center"/>
      </w:pPr>
      <w:r>
        <w:rPr>
          <w:rFonts w:ascii="Times New Roman" w:hAnsi="Times New Roman"/>
          <w:b/>
          <w:i w:val="0"/>
          <w:sz w:val="24"/>
        </w:rPr>
        <w:t>I. Уточнение правового основания</w:t>
      </w:r>
    </w:p>
    <w:p>
      <w:pPr>
        <w:spacing w:after="120" w:line="276" w:lineRule="auto"/>
        <w:ind w:firstLine="709"/>
        <w:jc w:val="both"/>
      </w:pPr>
      <w:r>
        <w:rPr>
          <w:rFonts w:ascii="Times New Roman" w:hAnsi="Times New Roman"/>
          <w:b w:val="0"/>
          <w:i w:val="0"/>
          <w:sz w:val="24"/>
        </w:rPr>
        <w:t>Из определения о принятии заявления о признании Должника банкротом следует, что оно принято «[дата]»; оспариваемая сделка совершена «[дата]», то есть за пределами трёхлетнего периода, установленного пунктом 2 статьи 61.2 Закона о банкротстве. В связи с этим заявитель уточняет основание требования: сделка оспаривается как ничтожная по статьям 10 и 168 ГК РФ [и пункту 1 статьи 170 ГК РФ], а ссылка на пункт 2 статьи 61.2 Закона о банкротстве из заявления исключается [вариант: заявитель дополняет основание ссылкой на пункт 1 статьи 61.2 Закона о банкротстве, поскольку сделка совершена в годичный период, а полученные выписки подтверждают неравноценность].</w:t>
      </w:r>
    </w:p>
    <w:p>
      <w:pPr>
        <w:spacing w:after="120" w:line="276" w:lineRule="auto"/>
        <w:ind w:firstLine="709"/>
        <w:jc w:val="both"/>
      </w:pPr>
      <w:r>
        <w:rPr>
          <w:rFonts w:ascii="Times New Roman" w:hAnsi="Times New Roman"/>
          <w:b w:val="0"/>
          <w:i w:val="0"/>
          <w:sz w:val="24"/>
        </w:rPr>
        <w:t>Частью 1 статьи 49 АПК РФ установлено: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Изменение правового основания при неизменном предмете (признание той же сделки недействительной и возврат того же Объекта) допустимо и не является одновременным изменением предмета и основания. Кроме того, пунктом 9 Постановления № 25 разъяснено: «По смыслу части 1 статьи 196 ГПК РФ или части 1 статьи 168 АПК РФ суд определяет, какие нормы права следует применить к установленным обстоятельствам. Суд также указывает мотивы, по которым не применил нормы права, на которые ссылались лица, участвующие в деле. В связи с этим ссылка истца в исковом заявлении на не подлежащие применению в данном деле нормы права сама по себе не является основанием для отказа в удовлетворении заявленного требования.» Ссылка заявителя на не подлежащие применению нормы сама по себе не влечёт отказа: суд применяет нормы, подлежащие применению, исходя из фактических обстоятельств.</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i w:val="0"/>
          <w:sz w:val="24"/>
        </w:rPr>
        <w:t>Пороки сделки выходят за пределы статьи 61.2 Закона о банкротстве.</w:t>
      </w:r>
      <w:r>
        <w:rPr>
          <w:rFonts w:ascii="Times New Roman" w:hAnsi="Times New Roman"/>
          <w:b w:val="0"/>
          <w:i w:val="0"/>
          <w:sz w:val="24"/>
        </w:rPr>
        <w:t xml:space="preserve"> [Изложить: серия безвозмездных сделок с родственниками, период более трёх лет, обязательства из субсидиарной ответственности возникли в момент причинения вреда и т. п.]</w:t>
      </w:r>
    </w:p>
    <w:p>
      <w:pPr>
        <w:spacing w:after="120" w:line="276" w:lineRule="auto"/>
        <w:ind w:firstLine="709"/>
        <w:jc w:val="both"/>
      </w:pPr>
      <w:r>
        <w:rPr>
          <w:rFonts w:ascii="Times New Roman" w:hAnsi="Times New Roman"/>
          <w:b/>
          <w:i w:val="0"/>
          <w:sz w:val="24"/>
        </w:rPr>
        <w:t>Момент возникновения обязательств Должника.</w:t>
      </w:r>
      <w:r>
        <w:rPr>
          <w:rFonts w:ascii="Times New Roman" w:hAnsi="Times New Roman"/>
          <w:b w:val="0"/>
          <w:i w:val="0"/>
          <w:sz w:val="24"/>
        </w:rPr>
        <w:t xml:space="preserve"> Формальное отсутствие у Должника просроченных личных долгов на дату сделки не означает его платёжеспособности. Должник являлся [участником и руководителем] ООО «[наименование]» (далее — Общество), которое с [год] года не исполняло обязательства перед [кредитор] на сумму [сумма] руб. (судебные акты — приложения); «[дата]» в отношении Общества возбуждено дело о банкротстве, «[дата]» введено наблюдение, а «[дата]» Должник привлечён к субсидиарной ответственности по обязательствам Общества в размере [сумма] руб. Субсидиарная ответственность контролирующего лица — разновидность гражданско-правовой ответственности за вред, причинённый кредиторам подконтрольного лица (пункт 2 постановления Пленума Верховного Суда Российской Федерации от 21.12.2017 № 53). Обязательство вследствие причинения вреда возникает в момент причинения вреда, а не в момент его судебного установления: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Судебный акт о привлечении к субсидиарной ответственности обязательство не создаёт, а лишь констатирует его наличие и определяет размер (определение Верховного Суда Российской Федерации от 30.08.2021 № 305-ЭС19-13080(2,3); пункт 10 постановления Пленума Высшего Арбитражного Суда Российской Федерации от 23.07.2009 № 63 «О текущих платежах по денежным обязательствам в деле о банкротстве»). Следовательно, обязательства, за неисполнение которых Должник впоследствии привлечён к ответственности, существовали на дату оспариваемой сделки, и Должник, контролировавший Общество, знал о них и о неизбежности предъявления требований к нему лично.</w:t>
      </w:r>
    </w:p>
    <w:p>
      <w:pPr>
        <w:spacing w:after="120" w:line="276" w:lineRule="auto"/>
        <w:ind w:firstLine="709"/>
        <w:jc w:val="both"/>
      </w:pPr>
      <w:r>
        <w:rPr>
          <w:rFonts w:ascii="Times New Roman" w:hAnsi="Times New Roman"/>
          <w:b w:val="0"/>
          <w:i w:val="0"/>
          <w:sz w:val="24"/>
        </w:rPr>
        <w:t>Судебная практика исходит из того, что при наличии значительных долговых обязательств стремление гражданина одарить родственника не может иметь приоритет над необходимостью удовлетворения требований кредиторов за счёт его имущества (определение Верховного Суда Российской Федерации от 22.07.2019 № 308-ЭС19-4372); заключение сделки, направленной на уменьшение активов должника путём отчуждения имущества третьим лицам в ущерб кредиторам, является злоупотреблением правом (постановление Президиума Высшего Арбитражного Суда Российской Федерации от 02.11.2010 № 6526/10); в преддверии банкротства должник, осознавая наличие кредиторов, может предпринимать действия по выводу имущества либо по принятию фиктивных долговых обязательств перед доверенными лицами (определение Верховного Суда Российской Федерации от 17.12.2020 № 305-ЭС20-12206). Неисполнение существовавших обязательств, безвозмездность (заниженная цена) и аффилированность стороны в совокупности достаточны для вывода о цели причинения вреда кредиторам (определение Верховного Суда Российской Федерации от 12.03.2019 № 305-ЭС17-11710(4)).</w:t>
      </w:r>
    </w:p>
    <w:p>
      <w:pPr>
        <w:spacing w:after="120" w:line="276" w:lineRule="auto"/>
        <w:ind w:firstLine="709"/>
        <w:jc w:val="both"/>
      </w:pPr>
      <w:r>
        <w:rPr>
          <w:rFonts w:ascii="Times New Roman" w:hAnsi="Times New Roman"/>
          <w:b/>
          <w:i w:val="0"/>
          <w:sz w:val="24"/>
        </w:rPr>
        <w:t>Срок исковой давности по уточнённому основанию.</w:t>
      </w:r>
      <w:r>
        <w:rPr>
          <w:rFonts w:ascii="Times New Roman" w:hAnsi="Times New Roman"/>
          <w:b w:val="0"/>
          <w:i w:val="0"/>
          <w:sz w:val="24"/>
        </w:rPr>
        <w:t xml:space="preserve"> 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II. Уточнение требований о применении последствий недействительности</w:t>
      </w:r>
    </w:p>
    <w:p>
      <w:pPr>
        <w:spacing w:after="120" w:line="276" w:lineRule="auto"/>
        <w:ind w:firstLine="709"/>
        <w:jc w:val="both"/>
      </w:pPr>
      <w:r>
        <w:rPr>
          <w:rFonts w:ascii="Times New Roman" w:hAnsi="Times New Roman"/>
          <w:b w:val="0"/>
          <w:i w:val="0"/>
          <w:sz w:val="24"/>
        </w:rPr>
        <w:t>Согласно выпискам ЕГРН о переходе прав ответчик «[дата]» [отчудил Объект третьему лицу [Ф. И. О.] по договору купли-продажи за [сумма] руб. / передал Объект в залог]. Возврат Объекта в натуре от ответчика невозможен. 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16 Постановления № 63 разъяснено: «Если же право на вещь, отчужденную должником по сделке, после совершения этой сделки было передано другой стороной сделки иному лицу по следующей сделке (например, по договору купли-продажи), то заявление об оспаривании первой сделки предъявляется по правилам статьи 61.8 Закона о банкротстве к другой ее стороне. Если первая сделка будет признана недействительной, должник вправе истребовать спорную вещь у ее второго приобретателя только посредством предъявления к нему виндикационного иска вне рамок дела о банкротстве по правилам статей 301 и 302 ГК РФ. В случае подсудности виндикационного иска тому же суду, который рассматривает дело о банкротстве, оспаривающее сделку лицо вправе по правилам статьи 130 АПК РФ соединить в одном заявлении, подаваемом в рамках дела о банкротстве, требования о признании сделки недействительной и о виндикации переданной по ней вещи; также возбужденное вне рамок дела о банкротстве тем же судом дело по иску о виндикации может быть объединено судом с рассмотрением заявления об оспаривании сделки - их объединенное рассмотрение осуществляется в рамках дела о банкротстве.»</w:t>
      </w:r>
    </w:p>
    <w:p>
      <w:pPr>
        <w:spacing w:after="120" w:line="276" w:lineRule="auto"/>
        <w:ind w:firstLine="709"/>
        <w:jc w:val="both"/>
      </w:pPr>
      <w:r>
        <w:rPr>
          <w:rFonts w:ascii="Times New Roman" w:hAnsi="Times New Roman"/>
          <w:b w:val="0"/>
          <w:i w:val="0"/>
          <w:sz w:val="24"/>
        </w:rPr>
        <w:t>В связи с этим заявитель изменяет требование о применении последствий: вместо обязания ответчика возвратить Объект просит взыскать с ответчика в конкурсную массу действительную стоимость Объекта на момент его приобретения — [сумма] руб. по отчёту об оценке от «[дата]» № [__] [альтернативно — привлечь конечного приобретателя соответчиком и истребовать Объект у него по статьям 301, 302 ГК РФ с соединением требований по статье 130 АПК РФ: «Истец вправе соединить в одном заявлении несколько требований, связанных между собой по основаниям возникновения или представленным доказательствам.»].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jc w:val="center"/>
      </w:pPr>
      <w:r>
        <w:rPr>
          <w:rFonts w:ascii="Times New Roman" w:hAnsi="Times New Roman"/>
          <w:b/>
          <w:i w:val="0"/>
          <w:sz w:val="24"/>
        </w:rPr>
        <w:t>III. Привлечение к участию в споре</w:t>
      </w:r>
    </w:p>
    <w:p>
      <w:pPr>
        <w:spacing w:after="120" w:line="276" w:lineRule="auto"/>
        <w:ind w:firstLine="709"/>
        <w:jc w:val="both"/>
      </w:pPr>
      <w:r>
        <w:rPr>
          <w:rFonts w:ascii="Times New Roman" w:hAnsi="Times New Roman"/>
          <w:b w:val="0"/>
          <w:i w:val="0"/>
          <w:sz w:val="24"/>
        </w:rPr>
        <w:t>[Поскольку Объект находится у [Ф. И. О. конечного приобретателя], судебный акт может повлиять на его права; заявитель просит привлечь его к участию в споре в качестве [соответчика (часть 5 статьи 46 АПК РФ) / третьего лица без самостоятельных требований (часть 1 статьи 51 АПК РФ: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pPr>
        <w:spacing w:after="120" w:line="276" w:lineRule="auto"/>
        <w:ind w:firstLine="709"/>
        <w:jc w:val="both"/>
      </w:pPr>
      <w:r>
        <w:rPr>
          <w:rFonts w:ascii="Times New Roman" w:hAnsi="Times New Roman"/>
          <w:b w:val="0"/>
          <w:i w:val="0"/>
          <w:sz w:val="24"/>
        </w:rPr>
        <w:t>Изменение основания и размера требований не влечёт доплаты государственной пошлины: требование о признании сделки недействительной оплачено, а требование о применении последствий недействительности [в силу подпункта 8 пункта 1 статьи 333.22 НК РФ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 оплачивается как одно требование совместно с требованием о недействительности].</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41, 46, 49, 51, 130, 223 Арбитражного процессуального кодекса Российской Федерации, статьями 10, 166, 167, 168, 170, 181 Гражданского кодекса Российской Федерации, статьями 61.1, 61.6, 61.8, 213.32 Федерального закона «О несостоятельности (банкротстве)»,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Принять уточнение правового основания заявления: признать [договор дарения] от «[дата]» между [Ф. И. О. Должника] и [Ф. И. О. ответчика] в отношении [Объект, кадастровый номер] недействительным (ничтожным) на основании статей 10, 168 [, 170] Гражданского кодекса Российской Федерации.</w:t>
      </w:r>
    </w:p>
    <w:p>
      <w:pPr>
        <w:spacing w:after="120" w:line="276" w:lineRule="auto"/>
        <w:ind w:firstLine="709"/>
        <w:jc w:val="both"/>
      </w:pPr>
      <w:r>
        <w:rPr>
          <w:rFonts w:ascii="Times New Roman" w:hAnsi="Times New Roman"/>
          <w:b w:val="0"/>
          <w:i w:val="0"/>
          <w:sz w:val="24"/>
        </w:rPr>
        <w:t>2. Принять уточнение требования о применении последствий недействительности: взыскать с [Ф. И. О. ответчика] в конкурсную массу [Ф. И. О. Должника] действительную стоимость Объекта в размере [сумма] руб. [вариант: обязать [Ф. И. О. конечного приобретателя] возвратить Объект в конкурсную массу].</w:t>
      </w:r>
    </w:p>
    <w:p>
      <w:pPr>
        <w:spacing w:after="120" w:line="276" w:lineRule="auto"/>
        <w:ind w:firstLine="709"/>
        <w:jc w:val="both"/>
      </w:pPr>
      <w:r>
        <w:rPr>
          <w:rFonts w:ascii="Times New Roman" w:hAnsi="Times New Roman"/>
          <w:b w:val="0"/>
          <w:i w:val="0"/>
          <w:sz w:val="24"/>
        </w:rPr>
        <w:t>3. [Привлечь [Ф. И. О. конечного приобретателя] к участию в обособленном споре в качестве [соответчика / третьего лица, не заявляющего самостоятельных требований].]</w:t>
      </w:r>
    </w:p>
    <w:p>
      <w:pPr>
        <w:spacing w:after="120" w:line="276" w:lineRule="auto"/>
        <w:ind w:firstLine="709"/>
        <w:jc w:val="both"/>
      </w:pPr>
      <w:r>
        <w:rPr>
          <w:rFonts w:ascii="Times New Roman" w:hAnsi="Times New Roman"/>
          <w:b w:val="0"/>
          <w:i w:val="0"/>
          <w:sz w:val="24"/>
        </w:rPr>
        <w:t>4. В остальной части требования поддерживаю в ранее заявленной редакции.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Выписки из ЕГРН о переходе прав на Объект (основание уточнения последствий).</w:t>
      </w:r>
    </w:p>
    <w:p>
      <w:pPr>
        <w:spacing w:after="40" w:line="276" w:lineRule="auto"/>
        <w:jc w:val="left"/>
      </w:pPr>
      <w:r>
        <w:rPr>
          <w:rFonts w:ascii="Times New Roman" w:hAnsi="Times New Roman"/>
          <w:b w:val="0"/>
          <w:i w:val="0"/>
          <w:sz w:val="24"/>
        </w:rPr>
        <w:t>2. Отчёт об оценке действительной стоимости Объекта на дату его приобретения ответчиком.</w:t>
      </w:r>
    </w:p>
    <w:p>
      <w:pPr>
        <w:spacing w:after="40" w:line="276" w:lineRule="auto"/>
        <w:jc w:val="left"/>
      </w:pPr>
      <w:r>
        <w:rPr>
          <w:rFonts w:ascii="Times New Roman" w:hAnsi="Times New Roman"/>
          <w:b w:val="0"/>
          <w:i w:val="0"/>
          <w:sz w:val="24"/>
        </w:rPr>
        <w:t>3. Судебные акты, подтверждающие обязательства подконтрольного Должнику общества и привлечение Должника к субсидиарной ответственности [если основание уточняется по ст. 10, 168 ГК РФ].</w:t>
      </w:r>
    </w:p>
    <w:p>
      <w:pPr>
        <w:spacing w:after="40" w:line="276" w:lineRule="auto"/>
        <w:jc w:val="left"/>
      </w:pPr>
      <w:r>
        <w:rPr>
          <w:rFonts w:ascii="Times New Roman" w:hAnsi="Times New Roman"/>
          <w:b w:val="0"/>
          <w:i w:val="0"/>
          <w:sz w:val="24"/>
        </w:rPr>
        <w:t>4. Доказательства направления уточнения лицам, участвующим в обособленном споре.</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ст. 49 АПК РФ нельзя одновременно изменить и предмет, и основание. Замена возврата имущества на взыскание его стоимости — изменение способа применения последствий (не предмета), а переход с п. 2 ст. 61.2 на ст. 10, 168 ГК РФ — изменение основания; суды принимают такие уточнения.</w:t>
      </w:r>
    </w:p>
    <w:p>
      <w:pPr>
        <w:spacing w:after="40" w:line="276" w:lineRule="auto"/>
        <w:jc w:val="both"/>
      </w:pPr>
      <w:r>
        <w:rPr>
          <w:rFonts w:ascii="Times New Roman" w:hAnsi="Times New Roman"/>
          <w:b w:val="0"/>
          <w:i/>
          <w:sz w:val="24"/>
        </w:rPr>
        <w:t>— Если нужно предъявить требование к новому лицу (конечному приобретателю), просите привлечь его соответчиком (ч. 5 ст. 46 АПК РФ) — иначе придётся подавать отдельный виндикационный иск (п. 16 Постановления № 63).</w:t>
      </w:r>
    </w:p>
    <w:p>
      <w:pPr>
        <w:spacing w:after="40" w:line="276" w:lineRule="auto"/>
        <w:jc w:val="both"/>
      </w:pPr>
      <w:r>
        <w:rPr>
          <w:rFonts w:ascii="Times New Roman" w:hAnsi="Times New Roman"/>
          <w:b w:val="0"/>
          <w:i/>
          <w:sz w:val="24"/>
        </w:rPr>
        <w:t>— Уточнение подавайте заблаговременно до заседания и направляйте всем участникам спора; суд принимает его протокольно или определением.</w:t>
      </w:r>
    </w:p>
    <w:p>
      <w:pPr>
        <w:spacing w:after="40" w:line="276" w:lineRule="auto"/>
        <w:jc w:val="both"/>
      </w:pPr>
      <w:r>
        <w:rPr>
          <w:rFonts w:ascii="Times New Roman" w:hAnsi="Times New Roman"/>
          <w:b w:val="0"/>
          <w:i/>
          <w:sz w:val="24"/>
        </w:rPr>
        <w:t>— Цитаты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