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сделок по перечислению денежных средств и применении последствий недействительности сделок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Из выписок по счетам Должника в [ПАО Сбербанк, АО «Т-Банк», …] следует, что в период с «[дата]» по «[дата]» Должник перечислил на счета [Ф. И. О. ответчика] — своего [сына / дочери / супруга / матери] — денежные средства [__] платежами на общую сумму [сумма] руб. (реестр платежей с датами, суммами и назначениями — приложение № [__]). Назначение платежей не указано [указано «перевод», «подарок», «на жизнь»]. Какие-либо обязательства Должника перед ответчиком, в счёт которых могли производиться платежи, отсутствуют: договоры займа, купли-продажи, оказания услуг не представлены, ответчик [не имел дохода, позволявшего предоставить Должнику заём на такую сумму]. Платежи носили систематический характер и по сумме многократно превышали разумные расходы на содержание члена семьи.</w:t>
      </w:r>
    </w:p>
    <w:p>
      <w:pPr>
        <w:spacing w:after="120" w:line="276" w:lineRule="auto"/>
        <w:ind w:firstLine="709"/>
        <w:jc w:val="both"/>
      </w:pPr>
      <w:r>
        <w:rPr>
          <w:rFonts w:ascii="Times New Roman" w:hAnsi="Times New Roman"/>
          <w:b w:val="0"/>
          <w:i w:val="0"/>
          <w:sz w:val="24"/>
        </w:rPr>
        <w:t>Перечисление денежных средств — самостоятельная сделка, которая может быть оспорена по правилам главы III.1 Закона о банкротстве. Пунктом 3 статьи 61.1 Закона о банкротстве установлено: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В пункте 1 Постановления № 63 разъяснено, что по этим правилам могут оспариваться, в частности, «действия, являющиеся исполнением гражданско-правовых обязательств (в том числе наличный или безналичный платеж должником денежного долга кредитору, передача должником иного имущества в собственность кредитора), или иные действия, направленные на прекращение обязательств (заявление о зачете, соглашение о новации, предоставление отступного и т.п.)».</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ряд платежей совершён уже после принятия заявления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В тот же период, когда Должник переводил ответчику [сумма] руб., он не вносил платежи по кредитам, что подтверждается выписками по ссудным счетам и расчётами задолженности, представленными кредиторами при включении в реестр. Деньги, которых, по утверждению Должника, «не хватало» на расчёты с кредиторами, систематически передавались члену семьи.</w:t>
      </w:r>
    </w:p>
    <w:p>
      <w:pPr>
        <w:spacing w:after="120" w:line="276" w:lineRule="auto"/>
        <w:jc w:val="center"/>
      </w:pPr>
      <w:r>
        <w:rPr>
          <w:rFonts w:ascii="Times New Roman" w:hAnsi="Times New Roman"/>
          <w:b/>
          <w:i w:val="0"/>
          <w:sz w:val="24"/>
        </w:rPr>
        <w:t>III. Безвозмездность и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Платежи безвозмездны: встречного предоставления ответчик не производил (возвраты на счета Должника отсутствуют — выписки прилагаются). Вред кредиторам состоит в уменьшении имущества Должника на [сумма] руб., которые при добросовестном поведении Должника были бы направлены на погашение требований кредиторов либо вошли бы в конкурсную массу.</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сделок</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Ответчик как близкий родственник, проживающий с Должником [по одному адресу], не мог не знать о наличии у Должника неисполненных кредитных обязательств [о предъявленных исках, звонках коллекторов, исполнительных производствах].</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Верховный Суд Российской Федерации исходит из того, что наличие признаков неплатёжеспособности на дату сделки — лишь одна из презумпций цели причинения вреда; её отсутствие не исключает признания сделки недействительной, если совокупность обстоятельств свидетельствует о направленности сделки на вывод активов в ущерб кредиторам (определение от 12.03.2019 № 305-ЭС17-11710(4)). Фактическая аффилированность сторон доказывается не только через корпоративные связи, но и через поведение сторон, недоступное обычным (независимым) участникам оборота (определение от 15.06.2016 № 308-ЭС16-1475).</w:t>
      </w:r>
    </w:p>
    <w:p>
      <w:pPr>
        <w:spacing w:after="120" w:line="276" w:lineRule="auto"/>
        <w:ind w:firstLine="709"/>
        <w:jc w:val="both"/>
      </w:pPr>
      <w:r>
        <w:rPr>
          <w:rFonts w:ascii="Times New Roman" w:hAnsi="Times New Roman"/>
          <w:b w:val="0"/>
          <w:i w:val="0"/>
          <w:sz w:val="24"/>
        </w:rPr>
        <w:t>Каждый из оспариваемых платежей отвечает составу пункта 2 статьи 61.2 Закона о банкротстве: совершён в трёхлетний период [либо после принятия заявления о банкротстве] при наличии просроченных обязательств, безвозмездно и в пользу заинтересованного лица; вред выразился в уменьшении конкурсной массы; осведомлённость ответчика презюмируется. Оспаривание ряда однотипных платежей в одном заявлении допустимо: они совершены между теми же лицами, по одной схеме и объединены единой целью (статья 130 АПК РФ).</w:t>
      </w:r>
    </w:p>
    <w:p>
      <w:pPr>
        <w:spacing w:after="120" w:line="276" w:lineRule="auto"/>
        <w:ind w:firstLine="709"/>
        <w:jc w:val="both"/>
      </w:pPr>
      <w:r>
        <w:rPr>
          <w:rFonts w:ascii="Times New Roman" w:hAnsi="Times New Roman"/>
          <w:b/>
          <w:i w:val="0"/>
          <w:sz w:val="24"/>
        </w:rPr>
        <w:t>Возражение о «семейных расходах».</w:t>
      </w:r>
      <w:r>
        <w:rPr>
          <w:rFonts w:ascii="Times New Roman" w:hAnsi="Times New Roman"/>
          <w:b w:val="0"/>
          <w:i w:val="0"/>
          <w:sz w:val="24"/>
        </w:rPr>
        <w:t xml:space="preserve"> Перечисления на содержание члена семьи могут считаться обычными лишь в разумных пределах, сопоставимых с доходом Должника и прожиточным минимумом. Оспариваемые платежи ([сумма] руб. за [__] месяцев, то есть в среднем [сумма] руб. в месяц) превышают доход Должника за тот же период ([сумма] руб.) и не могут быть объяснены содержанием семьи; [ответчик — совершеннолетнее трудоспособное лицо, обязанности содержать которого у Должника нет].</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Возврат денежных средств в натуре означает взыскание с ответчика [сумма] руб. в конкурсную массу.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Пунктом 29.1 Постановления № 63 разъяснено: «Если суд признал на основании статей 61.2 или 61.3 Закона о банкротстве недействительными действия должника по уплате денег, то проценты за пользование чужими денежными средствами (статья 395 ГК РФ) на сумму, подлежащую возврату кредитором должнику, на основании пункта 2 статьи 1107 ГК РФ подлежат начислению с момента вступления в силу определения суда о признании сделки недействительной, если не будет доказано, что кредитор узнал или должен был узнать о том, что у сделки имеются основания недействительности в соответствии со статьями 61.2 или 61.3 Закона о банкротстве, ранее признания ее недействительной - в последнем случае указанные проценты начисляются с момента, когда он узнал или должен был узнать об этом.» Ответчик знал о неосновательности получения средств с момента каждого платежа, поэтому проценты по статье 395 ГК РФ подлежат начислению с дат платежей [вариант: с даты вступления в силу определения о признании сделок недействительными].</w:t>
      </w:r>
    </w:p>
    <w:p>
      <w:pPr>
        <w:spacing w:after="120" w:line="276" w:lineRule="auto"/>
        <w:ind w:firstLine="709"/>
        <w:jc w:val="both"/>
      </w:pPr>
      <w:r>
        <w:rPr>
          <w:rFonts w:ascii="Times New Roman" w:hAnsi="Times New Roman"/>
          <w:b w:val="0"/>
          <w:i w:val="0"/>
          <w:sz w:val="24"/>
        </w:rPr>
        <w:t>У ответчика как получателя безвозмездных платежей восстановленное требование к Должнику не возникает.</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денежные средства — наиболее мобильный актив, ответчик способен снять их наличными или перевести третьим лицам сразу после получения копии заявления. Испрашиваемая мера в виде наложения ареста на денежные средства ответчика на счетах в кредитных организациях в пределах [сумма] руб.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395, 1102, 1107 Гражданского кодекса Российской Федерации, статьями 2, 19, 61.1, 61.2, 61.6, 61.8, 213.9, 213.32 Федерального закона «О несостоятельности (банкротстве)», статьями 65, 90, 91, 92, 125, 126, 130,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[Ф. И. О. ответчика], находящиеся и поступающие на счета в кредитных организациях, в пределах [сумма] руб.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сделки по перечислению [Ф. И. О. Должника] денежных средств [Ф. И. О. ответчика] «[дата]» в сумме [__] руб., «[дата]» в сумме [__] руб., […] на общую сумму [сумма] руб.</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взыскать с [Ф. И. О. ответчика] в конкурсную массу [Ф. И. О. Должника] [сумма] руб. и проценты за пользование чужими денежными средствами по статье 395 ГК РФ с дат совершения платежей по день фактического возврата.</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Выписки по счетам Должника за оспариваемый период; реестр оспариваемых платежей с расчётом суммы и процентов.</w:t>
      </w:r>
    </w:p>
    <w:p>
      <w:pPr>
        <w:spacing w:after="40" w:line="276" w:lineRule="auto"/>
        <w:jc w:val="left"/>
      </w:pPr>
      <w:r>
        <w:rPr>
          <w:rFonts w:ascii="Times New Roman" w:hAnsi="Times New Roman"/>
          <w:b w:val="0"/>
          <w:i w:val="0"/>
          <w:sz w:val="24"/>
        </w:rPr>
        <w:t>4. Сведения о доходах Должника за период платежей (справки 2-НДФЛ, данные СФР); сведения о неисполнении кредитных обязательств в тот же период.</w:t>
      </w:r>
    </w:p>
    <w:p>
      <w:pPr>
        <w:spacing w:after="40" w:line="276" w:lineRule="auto"/>
        <w:jc w:val="left"/>
      </w:pPr>
      <w:r>
        <w:rPr>
          <w:rFonts w:ascii="Times New Roman" w:hAnsi="Times New Roman"/>
          <w:b w:val="0"/>
          <w:i w:val="0"/>
          <w:sz w:val="24"/>
        </w:rPr>
        <w:t>5. Доказательства родства сторон (сведения ЗАГС) и совместного проживания (адресная справка).</w:t>
      </w:r>
    </w:p>
    <w:p>
      <w:pPr>
        <w:spacing w:after="40" w:line="276" w:lineRule="auto"/>
        <w:jc w:val="left"/>
      </w:pPr>
      <w:r>
        <w:rPr>
          <w:rFonts w:ascii="Times New Roman" w:hAnsi="Times New Roman"/>
          <w:b w:val="0"/>
          <w:i w:val="0"/>
          <w:sz w:val="24"/>
        </w:rPr>
        <w:t>6. Ответ банка о принадлежности счёта получателя ответчику [если платежи шли по номеру телефона].</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Приложите реестр платежей таблицей: дата, сумма, назначение, остаток долга перед кредиторами на эту дату. Суды охотно признают недействительными крупные и систематические переводы; мелкие бытовые суммы лучше не включать, чтобы не размывать требование.</w:t>
      </w:r>
    </w:p>
    <w:p>
      <w:pPr>
        <w:spacing w:after="40" w:line="276" w:lineRule="auto"/>
        <w:jc w:val="both"/>
      </w:pPr>
      <w:r>
        <w:rPr>
          <w:rFonts w:ascii="Times New Roman" w:hAnsi="Times New Roman"/>
          <w:b w:val="0"/>
          <w:i/>
          <w:sz w:val="24"/>
        </w:rPr>
        <w:t>— Если получатель — супруг, учтите режим общей собственности: переводы внутри семьи между супругами суды часто не считают сделкой во вред; упор делайте на то, что средства выведены на счёт, недоступный для взыскания, либо впоследствии сняты наличными.</w:t>
      </w:r>
    </w:p>
    <w:p>
      <w:pPr>
        <w:spacing w:after="40" w:line="276" w:lineRule="auto"/>
        <w:jc w:val="both"/>
      </w:pPr>
      <w:r>
        <w:rPr>
          <w:rFonts w:ascii="Times New Roman" w:hAnsi="Times New Roman"/>
          <w:b w:val="0"/>
          <w:i/>
          <w:sz w:val="24"/>
        </w:rPr>
        <w:t>— Проценты по ст. 395 ГК РФ с даты платежа взыскиваются, если доказана осведомлённость получателя (п. 29.1 Постановления № 63); иначе — с даты вступления определения в силу.</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