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дарения [квартиры / жилого дома и земельного участка / нежилого помещения]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Должнику принадлежал(а) [квартира / жилой дом площадью [__] кв. м и земельный участок площадью [__] кв. м / нежилое помещение] по адресу: [__], кадастровый номер [__] (далее — Объект). По договору дарения от «[дата]» (далее — Договор) Должник безвозмездно передал Объект [Ф. И. О. ответчика] — своему [сыну / дочери / супругу / матери / брату]; переход права зарегистрирован «[дата]» (выписки из ЕГРН о переходе прав и о содержании правоустанавливающих документов — приложения). Кадастровая стоимость Объекта — [сумма] руб., рыночная — [сумма] руб. Пунктом 1 статьи 572 ГК РФ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Встречное предоставление Договором не предусмотрено и не производилось.</w:t>
      </w:r>
    </w:p>
    <w:p>
      <w:pPr>
        <w:spacing w:after="120" w:line="276" w:lineRule="auto"/>
        <w:ind w:firstLine="709"/>
        <w:jc w:val="both"/>
      </w:pPr>
      <w:r>
        <w:rPr>
          <w:rFonts w:ascii="Times New Roman" w:hAnsi="Times New Roman"/>
          <w:b/>
          <w:i w:val="0"/>
          <w:sz w:val="24"/>
        </w:rPr>
        <w:t>Хронология, объясняющая дату сделки.</w:t>
      </w:r>
      <w:r>
        <w:rPr>
          <w:rFonts w:ascii="Times New Roman" w:hAnsi="Times New Roman"/>
          <w:b w:val="0"/>
          <w:i w:val="0"/>
          <w:sz w:val="24"/>
        </w:rPr>
        <w:t xml:space="preserve"> Отчуждение Объекта не случайно совпало с предъявлением требований к Должнику:</w:t>
      </w:r>
    </w:p>
    <w:p>
      <w:pPr>
        <w:spacing w:after="120" w:line="276" w:lineRule="auto"/>
        <w:ind w:firstLine="709"/>
        <w:jc w:val="both"/>
      </w:pPr>
      <w:r>
        <w:rPr>
          <w:rFonts w:ascii="Times New Roman" w:hAnsi="Times New Roman"/>
          <w:b w:val="0"/>
          <w:i w:val="0"/>
          <w:sz w:val="24"/>
        </w:rPr>
        <w:t>— «[дата]» — возникло обязательство Должника перед [кредитор] по [кредитному договору / договору поручительства / решению суда] на [сумма] руб.;</w:t>
      </w:r>
    </w:p>
    <w:p>
      <w:pPr>
        <w:spacing w:after="120" w:line="276" w:lineRule="auto"/>
        <w:ind w:firstLine="709"/>
        <w:jc w:val="both"/>
      </w:pPr>
      <w:r>
        <w:rPr>
          <w:rFonts w:ascii="Times New Roman" w:hAnsi="Times New Roman"/>
          <w:b w:val="0"/>
          <w:i w:val="0"/>
          <w:sz w:val="24"/>
        </w:rPr>
        <w:t>— «[дата]» — [кредитор] направил претензию / обратился в суд с иском о взыскании [сумма] руб. (дело № [__]);</w:t>
      </w:r>
    </w:p>
    <w:p>
      <w:pPr>
        <w:spacing w:after="120" w:line="276" w:lineRule="auto"/>
        <w:ind w:firstLine="709"/>
        <w:jc w:val="both"/>
      </w:pPr>
      <w:r>
        <w:rPr>
          <w:rFonts w:ascii="Times New Roman" w:hAnsi="Times New Roman"/>
          <w:b w:val="0"/>
          <w:i w:val="0"/>
          <w:sz w:val="24"/>
        </w:rPr>
        <w:t xml:space="preserve">— </w:t>
      </w:r>
      <w:r>
        <w:rPr>
          <w:rFonts w:ascii="Times New Roman" w:hAnsi="Times New Roman"/>
          <w:b/>
          <w:i w:val="0"/>
          <w:sz w:val="24"/>
        </w:rPr>
        <w:t>«[дата]» — Должник подарил Объект ответчику</w:t>
      </w:r>
      <w:r>
        <w:rPr>
          <w:rFonts w:ascii="Times New Roman" w:hAnsi="Times New Roman"/>
          <w:b w:val="0"/>
          <w:i w:val="0"/>
          <w:sz w:val="24"/>
        </w:rPr>
        <w:t xml:space="preserve"> (через [__] дней после [подачи иска / вынесения решения / возбуждения исполнительного производства]);</w:t>
      </w:r>
    </w:p>
    <w:p>
      <w:pPr>
        <w:spacing w:after="120" w:line="276" w:lineRule="auto"/>
        <w:ind w:firstLine="709"/>
        <w:jc w:val="both"/>
      </w:pPr>
      <w:r>
        <w:rPr>
          <w:rFonts w:ascii="Times New Roman" w:hAnsi="Times New Roman"/>
          <w:b w:val="0"/>
          <w:i w:val="0"/>
          <w:sz w:val="24"/>
        </w:rPr>
        <w:t>— «[дата]» — решением [суд] с Должника взыскано [сумма] руб.; «[дата]» — возбуждено исполнительное производство № [__], оконченное «[дата]» за отсутствием имущества;</w:t>
      </w:r>
    </w:p>
    <w:p>
      <w:pPr>
        <w:spacing w:after="120" w:line="276" w:lineRule="auto"/>
        <w:ind w:firstLine="709"/>
        <w:jc w:val="both"/>
      </w:pPr>
      <w:r>
        <w:rPr>
          <w:rFonts w:ascii="Times New Roman" w:hAnsi="Times New Roman"/>
          <w:b w:val="0"/>
          <w:i w:val="0"/>
          <w:sz w:val="24"/>
        </w:rPr>
        <w:t>— «[дата]» — принято заявление о признании Должника банкротом.</w:t>
      </w:r>
    </w:p>
    <w:p>
      <w:pPr>
        <w:spacing w:after="120" w:line="276" w:lineRule="auto"/>
        <w:ind w:firstLine="709"/>
        <w:jc w:val="both"/>
      </w:pPr>
      <w:r>
        <w:rPr>
          <w:rFonts w:ascii="Times New Roman" w:hAnsi="Times New Roman"/>
          <w:b w:val="0"/>
          <w:i w:val="0"/>
          <w:sz w:val="24"/>
        </w:rPr>
        <w:t>Изменился не фактический режим пользования Объектом, а только титул собственника, и произошло это накануне обращения взыскания.</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Безвозмездность сделки и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Договор дарения безвозмезден по своей природе, поэтому вред имущественным правам кредиторов причинён самим фактом выбытия Объекта из имущественной сферы Должника: конкурсная масса уменьшилась на [сумма] руб. при наличии требований кредиторов на [сумма] руб. Для вывода о вреде рыночная оценка не требуется — оценка значима лишь для расчёта стоимости на случай невозможности возврата в натуре. [Объект не является единственным пригодным для проживания жильём Должника: Должник зарегистрирован и проживает по адресу [__] / имеет в собственности иное жилое помещение [__], поэтому исполнительский иммунитет (статья 446 ГПК РФ, пункт 4 постановления Пленума Верховного Суда Российской Федерации от 25.12.2018 № 48) на Объект не распространяется.]</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Безвозмездность и заинтересованность одаряемого образуют сразу две презумпции цели причинения вреда (абзац второй пункта 2 статьи 61.2 Закона о банкротстве) и презумпцию осведомлённости ответчика (абзац первый пункта 2 статьи 61.2). Опровергнуть их обязан ответчик.</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Верховный Суд Российской Федерации исходит из того, что наличие признаков неплатёжеспособности на дату сделки — лишь одна из презумпций цели причинения вреда; её отсутствие не исключает признания сделки недействительной, если совокупность обстоятельств свидетельствует о направленности сделки на вывод активов в ущерб кредиторам (определение от 12.03.2019 № 305-ЭС17-11710(4)). Фактическая аффилированность сторон доказывается не только через корпоративные связи, но и через поведение сторон, недоступное обычным (независимым) участникам оборота (определение от 15.06.2016 № 308-ЭС16-1475).</w:t>
      </w:r>
    </w:p>
    <w:p>
      <w:pPr>
        <w:spacing w:after="120" w:line="276" w:lineRule="auto"/>
        <w:ind w:firstLine="709"/>
        <w:jc w:val="both"/>
      </w:pPr>
      <w:r>
        <w:rPr>
          <w:rFonts w:ascii="Times New Roman" w:hAnsi="Times New Roman"/>
          <w:b w:val="0"/>
          <w:i w:val="0"/>
          <w:sz w:val="24"/>
        </w:rPr>
        <w:t>Совокупность обстоятельств, предусмотренных пунктом 5 Постановления № 63, доказана: цель причинения вреда презюмируется (неплатёжеспособность на дату сделки, безвозмездность, заинтересованное лицо); вред причинён выбытием Объекта; осведомлённость ответчика презюмируется и подтверждается хронологией — дарение совершено [сразу после предъявления требований].</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Верховный Суд Российской Федерации неоднократно указывал, что квалификация сделки по статьям 10 и 168 ГК РФ возможна лишь при пороках, выходящих за пределы дефектов подозрительной сделки, описанных в статье 61.2 Закона о банкротстве; иной подход позволял бы обходить сокращённые сроки давности и периоды подозрительности (определения от 06.03.2019 № 305-ЭС18-22069, от 24.10.2017 № 305-ЭС17-4886(1)). Такие пороки в настоящем случае состоят в следующем: [сделка совершена за пределами трёхлетнего периода / сделка является частью серии однотипных сделок по выводу всех ликвидных активов / стороны согласованно создали видимость возмездности / имущество выведено после возбуждения спора о взыскании и вопреки судебному запрету].</w:t>
      </w:r>
    </w:p>
    <w:p>
      <w:pPr>
        <w:spacing w:after="120" w:line="276" w:lineRule="auto"/>
        <w:ind w:firstLine="709"/>
        <w:jc w:val="both"/>
      </w:pPr>
      <w:r>
        <w:rPr>
          <w:rFonts w:ascii="Times New Roman" w:hAnsi="Times New Roman"/>
          <w:b w:val="0"/>
          <w:i w:val="0"/>
          <w:sz w:val="24"/>
        </w:rPr>
        <w:t>Субсидиарно заявитель ссылается на ничтожность Договора по статьям 10 и 168 ГК РФ: дарение всего ликвидного имущества близкому родственнику при наличии судебного спора о взыскании долга является злоупотреблением правом, направленным исключительно на причинение вреда кредиторам. Суд самостоятельно определяет подлежащие применению нормы (пункт 9 Постановления № 25).</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ind w:firstLine="709"/>
        <w:jc w:val="both"/>
      </w:pPr>
      <w:r>
        <w:rPr>
          <w:rFonts w:ascii="Times New Roman" w:hAnsi="Times New Roman"/>
          <w:b w:val="0"/>
          <w:i w:val="0"/>
          <w:sz w:val="24"/>
        </w:rPr>
        <w:t>Поскольку Договор безвозмезден, у ответчика не возникает восстановленного требования к Должнику (пункт 2 статьи 61.6 Закона о банкротстве применяется лишь к возмездным сделкам).</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получивший Объект безвозмездно, не несёт потерь от его перепродажи и способен в любой день передать его третьему лицу, после чего возврат в натуре станет невозможен.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572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любые регистрационные действия в отношении [наименование Объекта] с кадастровым номером [__] по адресу: [__],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дарения от «[дата]», заключённый между [Ф. И. О. Должника] и [Ф. И. О. ответчика] в отношении [наименование Объекта] с кадастровым номером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[наименование Объекта] с кадастровым номером [__] в конкурсную массу [Ф. И. О. Должника]; указать, что определение является основанием для внесения в ЕГРН записи о праве собственности [Ф. И. О. Должника] на Объект [при невозможности возврата в натуре — взыскать с ответчика действительную стоимость Объекта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ЕГРН об Объекте, о переходе прав, о содержании правоустанавливающих документов; копия Договора дарения.</w:t>
      </w:r>
    </w:p>
    <w:p>
      <w:pPr>
        <w:spacing w:after="40" w:line="276" w:lineRule="auto"/>
        <w:jc w:val="left"/>
      </w:pPr>
      <w:r>
        <w:rPr>
          <w:rFonts w:ascii="Times New Roman" w:hAnsi="Times New Roman"/>
          <w:b w:val="0"/>
          <w:i w:val="0"/>
          <w:sz w:val="24"/>
        </w:rPr>
        <w:t>4. Документы, подтверждающие хронологию: претензия, исковое заявление кредитора, решение суда, постановления о возбуждении и окончании исполнительного производства.</w:t>
      </w:r>
    </w:p>
    <w:p>
      <w:pPr>
        <w:spacing w:after="40" w:line="276" w:lineRule="auto"/>
        <w:jc w:val="left"/>
      </w:pPr>
      <w:r>
        <w:rPr>
          <w:rFonts w:ascii="Times New Roman" w:hAnsi="Times New Roman"/>
          <w:b w:val="0"/>
          <w:i w:val="0"/>
          <w:sz w:val="24"/>
        </w:rPr>
        <w:t>5. Сведения о кадастровой и рыночной стоимости Объекта; сведения об ином жилье Должника (выписка из ЕГРН о правах Должника, адресная справка).</w:t>
      </w:r>
    </w:p>
    <w:p>
      <w:pPr>
        <w:spacing w:after="40" w:line="276" w:lineRule="auto"/>
        <w:jc w:val="left"/>
      </w:pPr>
      <w:r>
        <w:rPr>
          <w:rFonts w:ascii="Times New Roman" w:hAnsi="Times New Roman"/>
          <w:b w:val="0"/>
          <w:i w:val="0"/>
          <w:sz w:val="24"/>
        </w:rPr>
        <w:t>6. Доказательства родства (сведения ЗАГС, свидетельства о рождении / браке, объяснения Должника).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Хронология — главный аргумент. Выстройте её по датам: возникновение долга → предъявление требований → дарение → взыскание → банкротство. Если дарение совершено больше чем за три года до принятия заявления о банкротстве — используйте образец по ст. 10, 168 ГК РФ.</w:t>
      </w:r>
    </w:p>
    <w:p>
      <w:pPr>
        <w:spacing w:after="40" w:line="276" w:lineRule="auto"/>
        <w:jc w:val="both"/>
      </w:pPr>
      <w:r>
        <w:rPr>
          <w:rFonts w:ascii="Times New Roman" w:hAnsi="Times New Roman"/>
          <w:b w:val="0"/>
          <w:i/>
          <w:sz w:val="24"/>
        </w:rPr>
        <w:t>— Для дарения рыночная оценка не нужна для вывода о вреде (вред презюмируется безвозмездностью); она понадобится только если объект уже перепродан и вы просите взыскать стоимость.</w:t>
      </w:r>
    </w:p>
    <w:p>
      <w:pPr>
        <w:spacing w:after="40" w:line="276" w:lineRule="auto"/>
        <w:jc w:val="both"/>
      </w:pPr>
      <w:r>
        <w:rPr>
          <w:rFonts w:ascii="Times New Roman" w:hAnsi="Times New Roman"/>
          <w:b w:val="0"/>
          <w:i/>
          <w:sz w:val="24"/>
        </w:rPr>
        <w:t>— Если в объекте продолжают жить должник и его семья и иного жилья нет — суд откажет со ссылкой на п. 4 Пленума ВС РФ № 48 (исполнительский иммунитет). Проверьте этот вопрос до подачи.</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