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финансовый управляющий должника</w:t>
      </w:r>
      <w:r>
        <w:rPr>
          <w:rFonts w:ascii="Times New Roman" w:hAnsi="Times New Roman"/>
          <w:b w:val="0"/>
          <w:i w:val="0"/>
          <w:sz w:val="24"/>
        </w:rPr>
        <w:b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7 500 руб. — за требование о признании сделки недействительной (подп. 2 п. 1 ст. 333.21 НК РФ: 15 000 руб. для физических лиц, с учётом подп. 9 п. 1 той же статьи — 50 %) [+ 15 000 руб. за ходатайство об обеспечительных мерах: подп. 17 п. 1 ст. 333.21 НК РФ (30 000 руб.) с учётом подп. 9 п. 1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недействительными (ничтожными) договоров дарения и применении последствий недействительности сделок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213.32 Федерального закона от 26.10.2002 № 127-ФЗ «О несостоятельности (банкротстве)» (далее — Закон о банкротстве) установлено: «Заявление об оспаривании сделки должника-гражданина по основаниям, предусмотренным статьей 61.2 или 61.3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Согласно пункту 2 той же статьи «Право на подачу заявления об оспаривании сделки должника-гражданина по указанным в статье 61.2 или 61.3 настоящего Федерального закона основаниям возникает с даты введения реструктуризации долгов гражданина.» Абзацем вторым пункта 7 статьи 213.9 Закона о банкротстве финансовому управляющему предоставлено право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 Пунктом 3 статьи 213.32 Закона о банкротстве предусмотрено: «Заявление об оспаривании сделки должника-гражданина по указанным в статье 61.2 или 61.3 настоящего Федерального закона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pPr>
        <w:spacing w:after="120" w:line="276" w:lineRule="auto"/>
        <w:jc w:val="center"/>
      </w:pPr>
      <w:r>
        <w:rPr>
          <w:rFonts w:ascii="Times New Roman" w:hAnsi="Times New Roman"/>
          <w:b/>
          <w:i w:val="0"/>
          <w:sz w:val="24"/>
        </w:rPr>
        <w:t>I. Обстоятельства совершения сделок</w:t>
      </w:r>
    </w:p>
    <w:p>
      <w:pPr>
        <w:spacing w:after="120" w:line="276" w:lineRule="auto"/>
        <w:ind w:firstLine="709"/>
        <w:jc w:val="both"/>
      </w:pPr>
      <w:r>
        <w:rPr>
          <w:rFonts w:ascii="Times New Roman" w:hAnsi="Times New Roman"/>
          <w:b w:val="0"/>
          <w:i w:val="0"/>
          <w:sz w:val="24"/>
        </w:rPr>
        <w:t>По договорам дарения от «[дата]» (далее — Договоры) Должник безвозмездно передал своему [сыну / дочери / супругу] [Ф. И. О. ответчика] [нежилое здание площадью [__] кв. м, кадастровый номер [__], и нежилое помещение площадью [__] кв. м, кадастровый номер [__], по адресу: [__]] (далее — Объекты); переход права зарегистрирован «[дата]». Кадастровая стоимость Объектов — [сумма] руб., рыночная — [сумма] руб. Пунктом 1 статьи 572 ГК РФ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Встречное предоставление отсутствует. [Объекты сдаются в аренду ООО «[__]», учредителем (руководителем) которого является [Должник / ответчик]; арендную плату получает [__].]</w:t>
      </w:r>
    </w:p>
    <w:p>
      <w:pPr>
        <w:spacing w:after="120" w:line="276" w:lineRule="auto"/>
        <w:ind w:firstLine="709"/>
        <w:jc w:val="both"/>
      </w:pPr>
      <w:r>
        <w:rPr>
          <w:rFonts w:ascii="Times New Roman" w:hAnsi="Times New Roman"/>
          <w:b w:val="0"/>
          <w:i w:val="0"/>
          <w:sz w:val="24"/>
        </w:rPr>
        <w:t>Договоры совершены более чем за три года до принятия заявления о признании Должника банкротом («[дата]»), поэтому оспариваются по общим основаниям гражданского законодательства. Пунктом 1 статьи 61.1 Закона о банкротстве установлено: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w:t>
      </w:r>
    </w:p>
    <w:p>
      <w:pPr>
        <w:spacing w:after="120" w:line="276" w:lineRule="auto"/>
        <w:ind w:firstLine="709"/>
        <w:jc w:val="both"/>
      </w:pPr>
      <w:r>
        <w:rPr>
          <w:rFonts w:ascii="Times New Roman" w:hAnsi="Times New Roman"/>
          <w:b/>
          <w:i w:val="0"/>
          <w:sz w:val="24"/>
        </w:rPr>
        <w:t>Момент возникновения обязательств Должника.</w:t>
      </w:r>
      <w:r>
        <w:rPr>
          <w:rFonts w:ascii="Times New Roman" w:hAnsi="Times New Roman"/>
          <w:b w:val="0"/>
          <w:i w:val="0"/>
          <w:sz w:val="24"/>
        </w:rPr>
        <w:t xml:space="preserve"> Формальное отсутствие у Должника просроченных личных долгов на дату сделки не означает его платёжеспособности. Должник являлся [участником и руководителем] ООО «[наименование]» (далее — Общество), которое с [год] года не исполняло обязательства перед [кредитор] на сумму [сумма] руб. (судебные акты — приложения); «[дата]» в отношении Общества возбуждено дело о банкротстве, «[дата]» введено наблюдение, а «[дата]» Должник привлечён к субсидиарной ответственности по обязательствам Общества в размере [сумма] руб. Субсидиарная ответственность контролирующего лица — разновидность гражданско-правовой ответственности за вред, причинённый кредиторам подконтрольного лица (пункт 2 постановления Пленума Верховного Суда Российской Федерации от 21.12.2017 № 53). Обязательство вследствие причинения вреда возникает в момент причинения вреда, а не в момент его судебного установления: пунктом 1 статьи 1064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Судебный акт о привлечении к субсидиарной ответственности обязательство не создаёт, а лишь констатирует его наличие и определяет размер (определение Верховного Суда Российской Федерации от 30.08.2021 № 305-ЭС19-13080(2,3); пункт 10 постановления Пленума Высшего Арбитражного Суда Российской Федерации от 23.07.2009 № 63 «О текущих платежах по денежным обязательствам в деле о банкротстве»). Следовательно, обязательства, за неисполнение которых Должник впоследствии привлечён к ответственности, существовали на дату оспариваемой сделки, и Должник, контролировавший Общество, знал о них и о неизбежности предъявления требований к нему лично.</w:t>
      </w:r>
    </w:p>
    <w:p>
      <w:pPr>
        <w:spacing w:after="120" w:line="276" w:lineRule="auto"/>
        <w:ind w:firstLine="709"/>
        <w:jc w:val="both"/>
      </w:pPr>
      <w:r>
        <w:rPr>
          <w:rFonts w:ascii="Times New Roman" w:hAnsi="Times New Roman"/>
          <w:b/>
          <w:i w:val="0"/>
          <w:sz w:val="24"/>
        </w:rPr>
        <w:t>Хронология.</w:t>
      </w:r>
      <w:r>
        <w:rPr>
          <w:rFonts w:ascii="Times New Roman" w:hAnsi="Times New Roman"/>
          <w:b w:val="0"/>
          <w:i w:val="0"/>
          <w:sz w:val="24"/>
        </w:rPr>
        <w:t xml:space="preserve"> Последовательность событий исключает случайность даты дарения:</w:t>
      </w:r>
    </w:p>
    <w:p>
      <w:pPr>
        <w:spacing w:after="120" w:line="276" w:lineRule="auto"/>
        <w:ind w:firstLine="709"/>
        <w:jc w:val="both"/>
      </w:pPr>
      <w:r>
        <w:rPr>
          <w:rFonts w:ascii="Times New Roman" w:hAnsi="Times New Roman"/>
          <w:b w:val="0"/>
          <w:i w:val="0"/>
          <w:sz w:val="24"/>
        </w:rPr>
        <w:t>— [годы] — возникновение обязательств Общества перед [кредитор] по договорам [__]; задолженность взыскана [__] судебными актами [годы];</w:t>
      </w:r>
    </w:p>
    <w:p>
      <w:pPr>
        <w:spacing w:after="120" w:line="276" w:lineRule="auto"/>
        <w:ind w:firstLine="709"/>
        <w:jc w:val="both"/>
      </w:pPr>
      <w:r>
        <w:rPr>
          <w:rFonts w:ascii="Times New Roman" w:hAnsi="Times New Roman"/>
          <w:b w:val="0"/>
          <w:i w:val="0"/>
          <w:sz w:val="24"/>
        </w:rPr>
        <w:t>— «[дата]» — возбуждено дело о банкротстве Общества (№ [__]); «[дата]» — введено наблюдение;</w:t>
      </w:r>
    </w:p>
    <w:p>
      <w:pPr>
        <w:spacing w:after="120" w:line="276" w:lineRule="auto"/>
        <w:ind w:firstLine="709"/>
        <w:jc w:val="both"/>
      </w:pPr>
      <w:r>
        <w:rPr>
          <w:rFonts w:ascii="Times New Roman" w:hAnsi="Times New Roman"/>
          <w:b w:val="0"/>
          <w:i w:val="0"/>
          <w:sz w:val="24"/>
        </w:rPr>
        <w:t xml:space="preserve">— </w:t>
      </w:r>
      <w:r>
        <w:rPr>
          <w:rFonts w:ascii="Times New Roman" w:hAnsi="Times New Roman"/>
          <w:b/>
          <w:i w:val="0"/>
          <w:sz w:val="24"/>
        </w:rPr>
        <w:t>«[дата]» — Должник безвозмездно отчуждает ответчику Объекты</w:t>
      </w:r>
      <w:r>
        <w:rPr>
          <w:rFonts w:ascii="Times New Roman" w:hAnsi="Times New Roman"/>
          <w:b w:val="0"/>
          <w:i w:val="0"/>
          <w:sz w:val="24"/>
        </w:rPr>
        <w:t xml:space="preserve"> (на [__] день после введения наблюдения в Обществе);</w:t>
      </w:r>
    </w:p>
    <w:p>
      <w:pPr>
        <w:spacing w:after="120" w:line="276" w:lineRule="auto"/>
        <w:ind w:firstLine="709"/>
        <w:jc w:val="both"/>
      </w:pPr>
      <w:r>
        <w:rPr>
          <w:rFonts w:ascii="Times New Roman" w:hAnsi="Times New Roman"/>
          <w:b w:val="0"/>
          <w:i w:val="0"/>
          <w:sz w:val="24"/>
        </w:rPr>
        <w:t>— «[дата]» — [безвозмездно отчуждён [иной объект] в пользу [супруги]];</w:t>
      </w:r>
    </w:p>
    <w:p>
      <w:pPr>
        <w:spacing w:after="120" w:line="276" w:lineRule="auto"/>
        <w:ind w:firstLine="709"/>
        <w:jc w:val="both"/>
      </w:pPr>
      <w:r>
        <w:rPr>
          <w:rFonts w:ascii="Times New Roman" w:hAnsi="Times New Roman"/>
          <w:b w:val="0"/>
          <w:i w:val="0"/>
          <w:sz w:val="24"/>
        </w:rPr>
        <w:t>— «[дата]» — назначено судебное заседание об истребовании у Должника документов Общества; «[дата]» — подано заявление о привлечении Должника к субсидиарной ответственности;</w:t>
      </w:r>
    </w:p>
    <w:p>
      <w:pPr>
        <w:spacing w:after="120" w:line="276" w:lineRule="auto"/>
        <w:ind w:firstLine="709"/>
        <w:jc w:val="both"/>
      </w:pPr>
      <w:r>
        <w:rPr>
          <w:rFonts w:ascii="Times New Roman" w:hAnsi="Times New Roman"/>
          <w:b w:val="0"/>
          <w:i w:val="0"/>
          <w:sz w:val="24"/>
        </w:rPr>
        <w:t>— «[дата]» — Должник привлечён к субсидиарной ответственности; «[дата]» — определён её размер — [сумма] руб.;</w:t>
      </w:r>
    </w:p>
    <w:p>
      <w:pPr>
        <w:spacing w:after="120" w:line="276" w:lineRule="auto"/>
        <w:ind w:firstLine="709"/>
        <w:jc w:val="both"/>
      </w:pPr>
      <w:r>
        <w:rPr>
          <w:rFonts w:ascii="Times New Roman" w:hAnsi="Times New Roman"/>
          <w:b w:val="0"/>
          <w:i w:val="0"/>
          <w:sz w:val="24"/>
        </w:rPr>
        <w:t>— «[дата]» — принято заявление о признании Должника банкротом.</w:t>
      </w:r>
    </w:p>
    <w:p>
      <w:pPr>
        <w:spacing w:after="120" w:line="276" w:lineRule="auto"/>
        <w:ind w:firstLine="709"/>
        <w:jc w:val="both"/>
      </w:pPr>
      <w:r>
        <w:rPr>
          <w:rFonts w:ascii="Times New Roman" w:hAnsi="Times New Roman"/>
          <w:b w:val="0"/>
          <w:i w:val="0"/>
          <w:sz w:val="24"/>
        </w:rPr>
        <w:t>За [__] года Должник безвозмездно передал близким родственникам все ликвидные объекты недвижимости; обычными семейными мотивами такое поведение не объясняется.</w:t>
      </w:r>
    </w:p>
    <w:p>
      <w:pPr>
        <w:spacing w:after="120" w:line="276" w:lineRule="auto"/>
        <w:jc w:val="center"/>
      </w:pPr>
      <w:r>
        <w:rPr>
          <w:rFonts w:ascii="Times New Roman" w:hAnsi="Times New Roman"/>
          <w:b/>
          <w:i w:val="0"/>
          <w:sz w:val="24"/>
        </w:rPr>
        <w:t>II. Вред кредиторам</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val="0"/>
          <w:i w:val="0"/>
          <w:sz w:val="24"/>
        </w:rPr>
        <w:t>Дарение безвозмездно, поэтому вред кредиторам причинён самим выбытием Объектов: конкурсная масса лишилась имущества стоимостью [сумма] руб., тогда как требования кредиторов составляют [сумма] руб. При реализации Объектов по рыночной цене требования кредиторов были бы удовлетворены [в полном объёме / в значительной части]. Для вывода о вреде рыночная оценка не требуется; стоимость улучшений, произведённых ответчиком или арендатором после дарения, правового значения для спора о недействительности не имеет.</w:t>
      </w:r>
    </w:p>
    <w:p>
      <w:pPr>
        <w:spacing w:after="120" w:line="276" w:lineRule="auto"/>
        <w:jc w:val="center"/>
      </w:pPr>
      <w:r>
        <w:rPr>
          <w:rFonts w:ascii="Times New Roman" w:hAnsi="Times New Roman"/>
          <w:b/>
          <w:i w:val="0"/>
          <w:sz w:val="24"/>
        </w:rPr>
        <w:t>III. Заинтересованность ответчика</w:t>
      </w:r>
    </w:p>
    <w:p>
      <w:pPr>
        <w:spacing w:after="120" w:line="276" w:lineRule="auto"/>
        <w:ind w:firstLine="709"/>
        <w:jc w:val="both"/>
      </w:pPr>
      <w:r>
        <w:rPr>
          <w:rFonts w:ascii="Times New Roman" w:hAnsi="Times New Roman"/>
          <w:b/>
          <w:i w:val="0"/>
          <w:sz w:val="24"/>
        </w:rPr>
        <w:t>Заинтересованность ответчика.</w:t>
      </w:r>
      <w:r>
        <w:rPr>
          <w:rFonts w:ascii="Times New Roman" w:hAnsi="Times New Roman"/>
          <w:b w:val="0"/>
          <w:i w:val="0"/>
          <w:sz w:val="24"/>
        </w:rPr>
        <w:t xml:space="preserve"> Пунктом 3 статьи 19 Закона о банкротстве установлено: «Заинтересованными лицами по отношению к должнику-гражданину признаются его супруг, родственники по прямой восходящей и нисходящей линии, сестры, братья и их родственники по нисходящей линии, родители, дети, сестры и братья супруга.» Ответчик является [супругом / сыном / дочерью / матерью / отцом / братом / сестрой] Должника, что подтверждается [записью акта о рождении / о заключении брака, сведениями органа ЗАГС, совпадением фамилии и адреса регистрации, объяснениями Должника]. В силу абзаца первого пункта 2 статьи 61.2 Закона о банкротстве и пункта 7 Постановления № 63 осведомлённость заинтересованного лица о цели причинения вреда кредиторам презюмируется; бремя опровержения презумпции лежит на ответчике.</w:t>
      </w:r>
    </w:p>
    <w:p>
      <w:pPr>
        <w:spacing w:after="120" w:line="276" w:lineRule="auto"/>
        <w:ind w:firstLine="709"/>
        <w:jc w:val="both"/>
      </w:pPr>
      <w:r>
        <w:rPr>
          <w:rFonts w:ascii="Times New Roman" w:hAnsi="Times New Roman"/>
          <w:b w:val="0"/>
          <w:i w:val="0"/>
          <w:sz w:val="24"/>
        </w:rPr>
        <w:t>Если формальная связь между сторонами не прослеживается, о фактической аффилированности свидетельствуют условия сделки, недоступные независимым участникам оборота: [отсутствие оплаты и мер по её истребованию, сохранение имущества во владении Должника, совпадение адресов и представителей, общие сотрудники, расчёты «по кругу»] (определение Верховного Суда Российской Федерации от 15.06.2016 № 308-ЭС16-1475). Такое поведение сторон переносит на ответчика бремя раскрытия разумных экономических мотивов сделки (определение Верховного Суда Российской Федерации от 26.05.2017 № 306-ЭС16-20056(6)).</w:t>
      </w:r>
    </w:p>
    <w:p>
      <w:pPr>
        <w:spacing w:after="120" w:line="276" w:lineRule="auto"/>
        <w:jc w:val="center"/>
      </w:pPr>
      <w:r>
        <w:rPr>
          <w:rFonts w:ascii="Times New Roman" w:hAnsi="Times New Roman"/>
          <w:b/>
          <w:i w:val="0"/>
          <w:sz w:val="24"/>
        </w:rPr>
        <w:t>IV. Правовое обоснование</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ind w:firstLine="709"/>
        <w:jc w:val="both"/>
      </w:pPr>
      <w:r>
        <w:rPr>
          <w:rFonts w:ascii="Times New Roman" w:hAnsi="Times New Roman"/>
          <w:b/>
          <w:i w:val="0"/>
          <w:sz w:val="24"/>
        </w:rPr>
        <w:t>Пороки сделок выходят за пределы диспозиции статьи 61.2 Закона о банкротстве.</w:t>
      </w:r>
      <w:r>
        <w:rPr>
          <w:rFonts w:ascii="Times New Roman" w:hAnsi="Times New Roman"/>
          <w:b w:val="0"/>
          <w:i w:val="0"/>
          <w:sz w:val="24"/>
        </w:rPr>
        <w:t xml:space="preserve"> Договоры совершены не разово, а в рамках последовательного плана по сокрытию имущества, охватывающего несколько объектов, нескольких членов семьи Должника и период более [__] лет; Должник действовал, осознавая неизбежность предъявления к нему требований по долгам подконтрольного Общества, и использовал период до формального возникновения личных долгов для вывода активов. Такое поведение — заведомо недобросовестное осуществление гражданских прав, направленное исключительно на причинение вреда кредиторам (пункт 1 статьи 10 ГК РФ), что влечёт ничтожность сделок (пункт 2 статьи 168 ГК РФ). Пунктом 4 статьи 1 ГК РФ установлено: «Никто не вправе извлекать преимущество из своего незаконного или недобросовестного поведения.»</w:t>
      </w:r>
    </w:p>
    <w:p>
      <w:pPr>
        <w:spacing w:after="120" w:line="276" w:lineRule="auto"/>
        <w:ind w:firstLine="709"/>
        <w:jc w:val="both"/>
      </w:pPr>
      <w:r>
        <w:rPr>
          <w:rFonts w:ascii="Times New Roman" w:hAnsi="Times New Roman"/>
          <w:b w:val="0"/>
          <w:i w:val="0"/>
          <w:sz w:val="24"/>
        </w:rPr>
        <w:t>Судебная практика исходит из того, что при наличии значительных долговых обязательств стремление гражданина одарить родственника не может иметь приоритет над необходимостью удовлетворения требований кредиторов за счёт его имущества (определение Верховного Суда Российской Федерации от 22.07.2019 № 308-ЭС19-4372); заключение сделки, направленной на уменьшение активов должника путём отчуждения имущества третьим лицам в ущерб кредиторам, является злоупотреблением правом (постановление Президиума Высшего Арбитражного Суда Российской Федерации от 02.11.2010 № 6526/10); в преддверии банкротства должник, осознавая наличие кредиторов, может предпринимать действия по выводу имущества либо по принятию фиктивных долговых обязательств перед доверенными лицами (определение Верховного Суда Российской Федерации от 17.12.2020 № 305-ЭС20-12206). Неисполнение существовавших обязательств, безвозмездность (заниженная цена) и аффилированность стороны в совокупности достаточны для вывода о цели причинения вреда кредиторам (определение Верховного Суда Российской Федерации от 12.03.2019 № 305-ЭС17-11710(4)).</w:t>
      </w:r>
    </w:p>
    <w:p>
      <w:pPr>
        <w:spacing w:after="120" w:line="276" w:lineRule="auto"/>
        <w:ind w:firstLine="709"/>
        <w:jc w:val="both"/>
      </w:pPr>
      <w:r>
        <w:rPr>
          <w:rFonts w:ascii="Times New Roman" w:hAnsi="Times New Roman"/>
          <w:b w:val="0"/>
          <w:i w:val="0"/>
          <w:sz w:val="24"/>
        </w:rPr>
        <w:t>Ссылка ответчика на то, что на дату Договоров Должник не был привлечён к субсидиарной ответственности и не имел личных долгов, несостоятельна: значение имеет момент возникновения обязательств, за неисполнение которых он впоследствии привлечён к ответственности, а не момент их судебного подтверждения. Безвозмездный вывод ликвидного имущества в пользу сына при наличии у контролируемого Должником Общества неисполненных обязательств представляет собой злоупотребление правом.</w:t>
      </w:r>
    </w:p>
    <w:p>
      <w:pPr>
        <w:spacing w:after="120" w:line="276" w:lineRule="auto"/>
        <w:ind w:firstLine="709"/>
        <w:jc w:val="both"/>
      </w:pPr>
      <w:r>
        <w:rPr>
          <w:rFonts w:ascii="Times New Roman" w:hAnsi="Times New Roman"/>
          <w:b/>
          <w:i w:val="0"/>
          <w:sz w:val="24"/>
        </w:rPr>
        <w:t>Мнимость сделки (пункт 1 статьи 170 ГК РФ).</w:t>
      </w:r>
      <w:r>
        <w:rPr>
          <w:rFonts w:ascii="Times New Roman" w:hAnsi="Times New Roman"/>
          <w:b w:val="0"/>
          <w:i w:val="0"/>
          <w:sz w:val="24"/>
        </w:rPr>
        <w:t xml:space="preserve"> Пунктом 1 статьи 170 ГК РФ установлено: «Мнимая сделка, то есть сделка, совершенная лишь для вида, без намерения создать соответствующие ей правовые последствия, ничтожна.» Пунктом 86 Постановления № 25 разъяснено: «Следует учитывать, что стороны такой сделки могут также осуществить для вида ее формальное исполнение. Например, во избежание обращения взыскания на движимое имущество должника заключить договоры купли-продажи или доверительного управления и составить акты о передаче данного имущества, при этом сохранив контроль соответственно продавца или учредителя управления за ним. Равным образом осуществление сторонами мнимой сделки для вида государственной регистрации перехода права собственности на недвижимое имущество не препятствует квалификации такой сделки как ничтожной на основании пункта 1 статьи 170 ГК РФ.»</w:t>
      </w:r>
    </w:p>
    <w:p>
      <w:pPr>
        <w:spacing w:after="120" w:line="276" w:lineRule="auto"/>
        <w:ind w:firstLine="709"/>
        <w:jc w:val="both"/>
      </w:pPr>
      <w:r>
        <w:rPr>
          <w:rFonts w:ascii="Times New Roman" w:hAnsi="Times New Roman"/>
          <w:b w:val="0"/>
          <w:i w:val="0"/>
          <w:sz w:val="24"/>
        </w:rPr>
        <w:t>[Дополнительно Договоры мнимы: Объекты остались в фактическом пользовании Должника [через подконтрольного арендатора], ответчик расходов на них не несёт, воля сторон была направлена не на одарение, а на смену титульного собственника.]</w:t>
      </w:r>
    </w:p>
    <w:p>
      <w:pPr>
        <w:spacing w:after="120" w:line="276" w:lineRule="auto"/>
        <w:ind w:firstLine="709"/>
        <w:jc w:val="both"/>
      </w:pPr>
      <w:r>
        <w:rPr>
          <w:rFonts w:ascii="Times New Roman" w:hAnsi="Times New Roman"/>
          <w:b w:val="0"/>
          <w:i w:val="0"/>
          <w:sz w:val="24"/>
        </w:rPr>
        <w:t>Требование о признании ничтожной сделки недействительной и о применении последствий её недействительности вправе заявить лицо, имеющее охраняемый законом интерес (пункт 3 статьи 166 ГК РФ: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 Финансовый управляющий действует в интересах кредиторов Должника.</w:t>
      </w:r>
    </w:p>
    <w:p>
      <w:pPr>
        <w:spacing w:after="120" w:line="276" w:lineRule="auto"/>
        <w:jc w:val="center"/>
      </w:pPr>
      <w:r>
        <w:rPr>
          <w:rFonts w:ascii="Times New Roman" w:hAnsi="Times New Roman"/>
          <w:b/>
          <w:i w:val="0"/>
          <w:sz w:val="24"/>
        </w:rPr>
        <w:t>V. Срок исковой давности</w:t>
      </w:r>
    </w:p>
    <w:p>
      <w:pPr>
        <w:spacing w:after="120" w:line="276" w:lineRule="auto"/>
        <w:ind w:firstLine="709"/>
        <w:jc w:val="both"/>
      </w:pPr>
      <w:r>
        <w:rPr>
          <w:rFonts w:ascii="Times New Roman" w:hAnsi="Times New Roman"/>
          <w:b w:val="0"/>
          <w:i w:val="0"/>
          <w:sz w:val="24"/>
        </w:rPr>
        <w:t>Для требования о признании ничтожной сделки недействительной применяется трёхлетний срок: пунктом 1 статьи 181 ГК РФ установлено: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По разъяснению пункта 10 Постановления № 32 этот срок исчисляется со дня, когда оспаривающее сделку лицо узнало или должно было узнать об основаниях недействительности, но не ранее введения в отношении Должника первой процедуры банкротства («[дата]»), поэтому и он не пропущен.</w:t>
      </w:r>
    </w:p>
    <w:p>
      <w:pPr>
        <w:spacing w:after="120" w:line="276" w:lineRule="auto"/>
        <w:ind w:firstLine="709"/>
        <w:jc w:val="both"/>
      </w:pPr>
      <w:r>
        <w:rPr>
          <w:rFonts w:ascii="Times New Roman" w:hAnsi="Times New Roman"/>
          <w:b w:val="0"/>
          <w:i w:val="0"/>
          <w:sz w:val="24"/>
        </w:rPr>
        <w:t>Финансовый управляющий узнал о Договорах из выписок ЕГРН о содержании правоустанавливающих документов, поступивших «[дата]»; первая процедура банкротства введена «[дата]». Трёхлетний срок не истёк.</w:t>
      </w:r>
    </w:p>
    <w:p>
      <w:pPr>
        <w:spacing w:after="120" w:line="276" w:lineRule="auto"/>
        <w:jc w:val="center"/>
      </w:pPr>
      <w:r>
        <w:rPr>
          <w:rFonts w:ascii="Times New Roman" w:hAnsi="Times New Roman"/>
          <w:b/>
          <w:i w:val="0"/>
          <w:sz w:val="24"/>
        </w:rPr>
        <w:t>VI.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Спорное имущество сохранилось у ответчика [право собственности зарегистрировано за ним — выписка из ЕГРН / автомобиль зарегистрирован за ним — сведения ГИБДД], поэтому подлежит возврату в конкурсную массу в натуре. На случай установления судом невозможности возврата заявитель просит взыскать действительную стоимость имущества на момент его приобретения — [сумма] руб. [отчёт об оценке / справка о рыночной стоимости].</w:t>
      </w:r>
    </w:p>
    <w:p>
      <w:pPr>
        <w:spacing w:after="120" w:line="276" w:lineRule="auto"/>
        <w:ind w:firstLine="709"/>
        <w:jc w:val="both"/>
      </w:pPr>
      <w:r>
        <w:rPr>
          <w:rFonts w:ascii="Times New Roman" w:hAnsi="Times New Roman"/>
          <w:b w:val="0"/>
          <w:i w:val="0"/>
          <w:sz w:val="24"/>
        </w:rPr>
        <w:t>Поскольку Договоры безвозмездны, встречных требований у ответчика к Должнику не возникает.</w:t>
      </w:r>
    </w:p>
    <w:p>
      <w:pPr>
        <w:spacing w:after="120" w:line="276" w:lineRule="auto"/>
        <w:jc w:val="center"/>
      </w:pPr>
      <w:r>
        <w:rPr>
          <w:rFonts w:ascii="Times New Roman" w:hAnsi="Times New Roman"/>
          <w:b/>
          <w:i w:val="0"/>
          <w:sz w:val="24"/>
        </w:rPr>
        <w:t>VII.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ответчик уже пытался обременить Объекты ипотекой в обеспечение собственных обязательств [ходатайствовал об отмене ранее принятых мер], что подтверждает реальный риск их выбытия. Испрашиваемая мера в виде запрета Управлению Росреестра по [субъект] совершать регистрационные действия в отношении Объектов (кадастровые номера [__])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VIII.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физических лиц — 15 000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7 500 руб. За ходатайство об обеспечительных мерах пошлина составляет 15 000 руб. (подп. 17 п. 1 ст. 333.21 НК РФ — 30 000 руб. — с учётом подп. 9 п. 1 той же статьи). Вместе с тем подпунктом 4 пункта 1 статьи 333.37 НК РФ от уплаты пошлины освобождены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 Заявление об оспаривании сделки, поданное финансовым управляющим от имени гражданина-должника, направлено на формирование конкурсной массы, поэтому заявитель полагает, что пошлина уплате не подлежит [при ином толковании судом — просит предоставить отсрочку].</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 10, 166, 167, 168, 170, 572, 1064 Гражданского кодекса Российской Федерации, статьями 2, 19, 61.1, 61.6, 61.8, 213.9, 213.32 Федерального закона «О несостоятельности (банкротстве)», статьями 65, 90, 91, 92, 125, 126, 223 Арбитражного процессуального кодекса Российской Федерации, финансовый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запретить Управлению Федеральной службы государственной регистрации, кадастра и картографии по [субъект] совершать регистрационные действия в отношении [Объекты, кадастровые номера]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недействительными (ничтожными) договор дарения [нежилого здания] от «[дата]» в отношении объекта с кадастровым номером [__] и договор дарения [нежилого помещения] от «[дата]» в отношении объекта с кадастровым номером [__], заключённые между [Ф. И. О. Должника] и [Ф. И. О. ответчика].</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сделок: обязать [Ф. И. О. ответчика] возвратить в конкурсную массу [Ф. И. О. Должника] объекты с кадастровыми номерами [__] и [__] по адресу: [__]; указать, что определение является основанием для внесения записей в ЕГРН.</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Выписки из ЕГРН об Объектах, о переходе прав, о содержании правоустанавливающих документов; копии Договоров.</w:t>
      </w:r>
    </w:p>
    <w:p>
      <w:pPr>
        <w:spacing w:after="40" w:line="276" w:lineRule="auto"/>
        <w:jc w:val="left"/>
      </w:pPr>
      <w:r>
        <w:rPr>
          <w:rFonts w:ascii="Times New Roman" w:hAnsi="Times New Roman"/>
          <w:b w:val="0"/>
          <w:i w:val="0"/>
          <w:sz w:val="24"/>
        </w:rPr>
        <w:t>4. Судебные акты о взыскании задолженности с Общества ([__] шт.), определения о возбуждении дела о банкротстве Общества и о введении наблюдения, судебные акты о привлечении Должника к субсидиарной ответственности и об определении её размера.</w:t>
      </w:r>
    </w:p>
    <w:p>
      <w:pPr>
        <w:spacing w:after="40" w:line="276" w:lineRule="auto"/>
        <w:jc w:val="left"/>
      </w:pPr>
      <w:r>
        <w:rPr>
          <w:rFonts w:ascii="Times New Roman" w:hAnsi="Times New Roman"/>
          <w:b w:val="0"/>
          <w:i w:val="0"/>
          <w:sz w:val="24"/>
        </w:rPr>
        <w:t>5. Сведения о кадастровой и рыночной стоимости Объектов; договоры аренды Объектов [если имеются].</w:t>
      </w:r>
    </w:p>
    <w:p>
      <w:pPr>
        <w:spacing w:after="40" w:line="276" w:lineRule="auto"/>
        <w:jc w:val="left"/>
      </w:pPr>
      <w:r>
        <w:rPr>
          <w:rFonts w:ascii="Times New Roman" w:hAnsi="Times New Roman"/>
          <w:b w:val="0"/>
          <w:i w:val="0"/>
          <w:sz w:val="24"/>
        </w:rPr>
        <w:t>6. Доказательства родства (сведения ЗАГС); сведения об иных безвозмездных сделках Должника с родственниками.</w:t>
      </w:r>
    </w:p>
    <w:p>
      <w:pPr>
        <w:spacing w:after="40" w:line="276" w:lineRule="auto"/>
        <w:jc w:val="left"/>
      </w:pPr>
      <w:r>
        <w:rPr>
          <w:rFonts w:ascii="Times New Roman" w:hAnsi="Times New Roman"/>
          <w:b w:val="0"/>
          <w:i w:val="0"/>
          <w:sz w:val="24"/>
        </w:rPr>
        <w:t>7.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8.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9.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10.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11.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12.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w:t>
      </w:r>
    </w:p>
    <w:p>
      <w:pPr>
        <w:spacing w:after="40" w:line="276" w:lineRule="auto"/>
        <w:jc w:val="left"/>
      </w:pPr>
      <w:r>
        <w:rPr>
          <w:rFonts w:ascii="Times New Roman" w:hAnsi="Times New Roman"/>
          <w:b w:val="0"/>
          <w:i w:val="0"/>
          <w:sz w:val="24"/>
        </w:rPr>
        <w:t>13.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Этот образец — для сделок старше трёх лет, когда у самого должника формально не было просроченных долгов, но его компания уже не платила кредиторам, а он впоследствии привлечён к субсидиарной ответственности. Ключевой тезис: обязательство из причинения вреда возникает в момент причинения вреда (ст. 1064 ГК РФ), а не в момент судебного акта.</w:t>
      </w:r>
    </w:p>
    <w:p>
      <w:pPr>
        <w:spacing w:after="40" w:line="276" w:lineRule="auto"/>
        <w:jc w:val="both"/>
      </w:pPr>
      <w:r>
        <w:rPr>
          <w:rFonts w:ascii="Times New Roman" w:hAnsi="Times New Roman"/>
          <w:b w:val="0"/>
          <w:i/>
          <w:sz w:val="24"/>
        </w:rPr>
        <w:t>— Суды требуют показать, чем пороки сделки выходят за пределы п. 2 ст. 61.2: серия сделок, несколько объектов и родственников, длительный план, вывод всех ликвидных активов. Соберите хронологию в таблицу и приложите все судебные акты по компании.</w:t>
      </w:r>
    </w:p>
    <w:p>
      <w:pPr>
        <w:spacing w:after="40" w:line="276" w:lineRule="auto"/>
        <w:jc w:val="both"/>
      </w:pPr>
      <w:r>
        <w:rPr>
          <w:rFonts w:ascii="Times New Roman" w:hAnsi="Times New Roman"/>
          <w:b w:val="0"/>
          <w:i/>
          <w:sz w:val="24"/>
        </w:rPr>
        <w:t>— Ходатайства ответчика об экспертизе стоимости улучшений и о приостановлении спора до утверждения мирового соглашения отклоняются: стоимость улучшений не влияет на недействительность дарения, а решение собрания кредиторов о мировом соглашении не приостанавливает спор.</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Для сделок с недвижимостью датой совершения сделки в целях статьи 61.2 Закона о банкротстве в судебной практике признаётся дата государственной регистрации перехода права, а не дата подписания договора (пункт 2 статьи 8.1 ГК РФ; определение Верховного Суда Российской Федерации от 09.07.2018 № 307-ЭС18-1843).</w:t>
      </w:r>
    </w:p>
    <w:p>
      <w:pPr>
        <w:spacing w:after="40" w:line="276" w:lineRule="auto"/>
        <w:jc w:val="both"/>
      </w:pPr>
      <w:r>
        <w:rPr>
          <w:rFonts w:ascii="Times New Roman" w:hAnsi="Times New Roman"/>
          <w:b w:val="0"/>
          <w:i/>
          <w:sz w:val="24"/>
        </w:rPr>
        <w:t>— Единственное жильё: по п. 4 постановления Пленума ВС РФ от 25.12.2018 № 48 сделка по отчуждению жилого помещения не признаётся недействительной, если в нём продолжают проживать должник и его семья и при возврате оно будет защищено исполнительским иммунитетом (ст. 446 ГПК РФ). Проверьте, не является ли объект единственным жильём должника.</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