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организации-ответчика]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договора залога (ипотеки) и применении последствий недействительности сделки</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По [кредитному договору / договору поставки / договору займа] от «[дата]» № [__] у Должника перед [наименование ответчика] (далее — Кредитор) возникло обязательство в размере [сумма] руб. со сроком исполнения «[дата]». Обеспечение этого обязательства договором не предусматривалось. «[дата]», то есть спустя [__] месяцев после возникновения обязательства [и после наступления срока его исполнения], Должник и Кредитор заключили договор залога (ипотеки) № [__] (далее — Договор залога), по которому в обеспечение уже существовавшего долга Должник передал в залог [нежилое здание по адресу [__], кадастровый номер [__] / оборудование / товары в обороте] стоимостью [сумма] руб. [Ипотека зарегистрирована «[дата]».] Пунктом 1 статьи 334 ГК РФ установлено: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pPr>
        <w:spacing w:after="120" w:line="276" w:lineRule="auto"/>
        <w:ind w:firstLine="709"/>
        <w:jc w:val="both"/>
      </w:pPr>
      <w:r>
        <w:rPr>
          <w:rFonts w:ascii="Times New Roman" w:hAnsi="Times New Roman"/>
          <w:b w:val="0"/>
          <w:i w:val="0"/>
          <w:sz w:val="24"/>
        </w:rPr>
        <w:t>Договор залога заключён [в течение шести месяцев до принятия заявления о признании Должника банкротом («[дата]») / после принятия заявления]. Никакого нового предоставления (отсрочки, дополнительного финансирования, снижения ставки) Должник взамен залога не получил [либо получил отсрочку на [__] дней, несоразмерную ценности обеспечения].</w:t>
      </w:r>
    </w:p>
    <w:p>
      <w:pPr>
        <w:spacing w:after="120" w:line="276" w:lineRule="auto"/>
        <w:jc w:val="center"/>
      </w:pPr>
      <w:r>
        <w:rPr>
          <w:rFonts w:ascii="Times New Roman" w:hAnsi="Times New Roman"/>
          <w:b/>
          <w:i w:val="0"/>
          <w:sz w:val="24"/>
        </w:rPr>
        <w:t>II. Наличие иных кредиторов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 [сумма] руб. (решение Арбитражного суда [__] от «[дата]» по делу № [__], требование включено в реестр); перед [кредитор 2] — [сумма] руб.; перед уполномоченным органом — [сумма] руб. (требование от «[дата]» № [__]). По данным бухгалтерского баланса на [отчётная дата] обязательства Должника ([сумма] руб.) превышали стоимость активов ([сумма] руб.); картотека неисполненных платёжных документов по счёту ведётся с «[дата]». Следовательно, Должник отвечал признакам неплатёжеспособности и недостаточности имущества (статья 2 Закона о банкротстве).</w:t>
      </w:r>
    </w:p>
    <w:p>
      <w:pPr>
        <w:spacing w:after="120" w:line="276" w:lineRule="auto"/>
        <w:jc w:val="center"/>
      </w:pPr>
      <w:r>
        <w:rPr>
          <w:rFonts w:ascii="Times New Roman" w:hAnsi="Times New Roman"/>
          <w:b/>
          <w:i w:val="0"/>
          <w:sz w:val="24"/>
        </w:rPr>
        <w:t>III. Предпочтение</w:t>
      </w:r>
    </w:p>
    <w:p>
      <w:pPr>
        <w:spacing w:after="120" w:line="276" w:lineRule="auto"/>
        <w:ind w:firstLine="709"/>
        <w:jc w:val="both"/>
      </w:pPr>
      <w:r>
        <w:rPr>
          <w:rFonts w:ascii="Times New Roman" w:hAnsi="Times New Roman"/>
          <w:b w:val="0"/>
          <w:i w:val="0"/>
          <w:sz w:val="24"/>
        </w:rPr>
        <w:t>До Договора залога Кредитор был обычным кредитором третьей очереди и мог рассчитывать на пропорциональное удовлетворение ([__] %). Залог предоставил ему приоритет: в силу пункта 2 статьи 138 Закона о банкротстве залоговый кредитор получает до восьмидесяти (семидесяти) процентов выручки от продажи предмета залога преимущественно перед другими кредиторами. Соответственно, иные кредиторы третьей очереди лишились возможности удовлетворения за счёт имущества стоимостью [сумма] руб. Абзацем вторым пункта 1 статьи 61.3 Закона о банкротстве прямо предусмотрено, что предпочтение имеет место, если «сделка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w:t>
      </w:r>
    </w:p>
    <w:p>
      <w:pPr>
        <w:spacing w:after="120" w:line="276" w:lineRule="auto"/>
        <w:jc w:val="center"/>
      </w:pPr>
      <w:r>
        <w:rPr>
          <w:rFonts w:ascii="Times New Roman" w:hAnsi="Times New Roman"/>
          <w:b/>
          <w:i w:val="0"/>
          <w:sz w:val="24"/>
        </w:rPr>
        <w:t>IV. Правовое обоснование</w:t>
      </w:r>
    </w:p>
    <w:p>
      <w:pPr>
        <w:spacing w:after="120" w:line="276" w:lineRule="auto"/>
        <w:ind w:firstLine="709"/>
        <w:jc w:val="both"/>
      </w:pPr>
      <w:r>
        <w:rPr>
          <w:rFonts w:ascii="Times New Roman" w:hAnsi="Times New Roman"/>
          <w:b/>
          <w:i w:val="0"/>
          <w:sz w:val="24"/>
        </w:rPr>
        <w:t>Основание — статья 61.3 Закона о банкротстве.</w:t>
      </w:r>
      <w:r>
        <w:rPr>
          <w:rFonts w:ascii="Times New Roman" w:hAnsi="Times New Roman"/>
          <w:b w:val="0"/>
          <w:i w:val="0"/>
          <w:sz w:val="24"/>
        </w:rPr>
        <w:t xml:space="preserve"> Пунктом 1 статьи 61.3 Закона о банкротстве установлено: «Сделка,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 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 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сделка привела или может привести к удовлетворению требований, срок исполнения которых к моменту совершения сделки не наступил, одних кредиторов при наличии не исполненных в установленный срок обязательств перед другими кредиторами; сделка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w:t>
      </w:r>
    </w:p>
    <w:p>
      <w:pPr>
        <w:spacing w:after="120" w:line="276" w:lineRule="auto"/>
        <w:ind w:firstLine="709"/>
        <w:jc w:val="both"/>
      </w:pPr>
      <w:r>
        <w:rPr>
          <w:rFonts w:ascii="Times New Roman" w:hAnsi="Times New Roman"/>
          <w:b w:val="0"/>
          <w:i w:val="0"/>
          <w:sz w:val="24"/>
        </w:rPr>
        <w:t>Пунктом 3 статьи 61.3 Закона о банкротстве предусмотрено: «Сделка,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абзацами вторым и третьим пункта 1 настоящей статьи, или если установлено, что кредитору или иному лицу, в отношении которого совершена такая сделка, было известно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 Предполагается, что заинтересованное лицо знало о признаке неплатежеспособности или недостаточности имущества, если не доказано обратное.» Пунктом 12 Постановления № 63 разъяснено: «Если сделка с предпочтением была совершена не ранее чем за шесть месяцев и не позднее чем за один месяц до принятия судом заявления о признании должника банкротом, то в силу пункта 3 статьи 61.3 Закона о банкротстве она может быть признана недействительной, только если: а) в наличии имеются условия, предусмотренные абзацами вторым или третьим пункта 1 статьи 61.3 Закона о банкротстве; б) или имеются иные условия, соответствующие требованиям пункта 1 статьи 61.3, и при этом оспаривающим сделку лицом доказано, что на момент совершения сделки кредитору или иному лицу, в отношении которого совершена такая сделка, было или должно было быть известно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 При решении вопроса о том, должен ли был кредитор знать об указанных обстоятельствах, во внимание принимается то, насколько он мог, действуя разумно и проявляя требующуюся от него по условиям оборота осмотрительность, установить наличие этих обстоятельств. К числу фактов, свидетельствующих в пользу такого знания кредитора, могут с учетом всех обстоятельств дела относиться следующие: неоднократное обращение должника к кредитору с просьбой об отсрочке долга по причине невозможности уплаты его в изначально установленный срок; известное кредитору (кредитной организации) длительное наличие картотеки по банковскому счету должника (в том числе скрытой); осведомленность кредитора о том, что должник подал заявление о признании себя банкротом.»</w:t>
      </w:r>
    </w:p>
    <w:p>
      <w:pPr>
        <w:spacing w:after="120" w:line="276" w:lineRule="auto"/>
        <w:ind w:firstLine="709"/>
        <w:jc w:val="both"/>
      </w:pPr>
      <w:r>
        <w:rPr>
          <w:rFonts w:ascii="Times New Roman" w:hAnsi="Times New Roman"/>
          <w:b w:val="0"/>
          <w:i w:val="0"/>
          <w:sz w:val="24"/>
        </w:rPr>
        <w:t>Согласно пункту 10 Постановления № 63 «Применяя перечень условий, когда имеет место оказание предпочтения одному из кредиторов перед другими кредиторами, приведенный в абзацах втором - пятом пункта 1 указанной статьи, судам следует иметь в виду, что для признания наличия такого предпочтения достаточно хотя бы одного из этих условий. Бремя доказывания того, что сделка влечет или может повлечь за собой оказание предпочтения, лежит на оспаривающем ее лице.»</w:t>
      </w:r>
    </w:p>
    <w:p>
      <w:pPr>
        <w:spacing w:after="120" w:line="276" w:lineRule="auto"/>
        <w:ind w:firstLine="709"/>
        <w:jc w:val="both"/>
      </w:pPr>
      <w:r>
        <w:rPr>
          <w:rFonts w:ascii="Times New Roman" w:hAnsi="Times New Roman"/>
          <w:b w:val="0"/>
          <w:i w:val="0"/>
          <w:sz w:val="24"/>
        </w:rPr>
        <w:t>Договор залога заключён в шестимесячный период и обеспечивает обязательство, возникшее до его заключения, то есть отвечает условию абзаца второго пункта 1 статьи 61.3 Закона о банкротстве. Для таких сделок пункт 3 статьи 61.3 и пункт 12 Постановления № 63 не требуют доказывать осведомлённость кредитора о неплатёжеспособности должника: «в наличии имеются условия, предусмотренные абзацами вторым или третьим пункта 1 статьи 61.3 Закона о банкротстве» [Кроме того, Кредитор знал о неплатёжеспособности Должника: именно поэтому он потребовал обеспечение по просроченному долгу — Должник обращался с просьбами об отсрочке, Кредитор был осведомлён о картотеке и исках (пункт 12 Постановления № 63).]</w:t>
      </w:r>
    </w:p>
    <w:p>
      <w:pPr>
        <w:spacing w:after="120" w:line="276" w:lineRule="auto"/>
        <w:ind w:firstLine="709"/>
        <w:jc w:val="both"/>
      </w:pPr>
      <w:r>
        <w:rPr>
          <w:rFonts w:ascii="Times New Roman" w:hAnsi="Times New Roman"/>
          <w:b w:val="0"/>
          <w:i w:val="0"/>
          <w:sz w:val="24"/>
        </w:rPr>
        <w:t>Пунктом 2 статьи 61.4 Закона о банкротстве исключение для обычной хозяйственной деятельности установлено для сделок по передаче имущества и принятию обязательств; предоставление обеспечения по просроченному долгу к такой деятельности не относится, а стоимость предмета залога превышает один процент активов Должника ([сумма] руб. из [сумма] руб.).</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Дополнительно сделка отвечает пункту 2 статьи 61.2 Закона о банкротстве: совершена при неплатёжеспособности, [в пользу заинтересованного лица,] без встречного предоставления, причинила вред кредиторам в виде обременения ликвидного имущества; Кредитор знал о признаках неплатёжеспособности, что следует из самого требования обеспечения по просроченному долгу.</w:t>
      </w:r>
    </w:p>
    <w:p>
      <w:pPr>
        <w:spacing w:after="120" w:line="276" w:lineRule="auto"/>
        <w:jc w:val="center"/>
      </w:pPr>
      <w:r>
        <w:rPr>
          <w:rFonts w:ascii="Times New Roman" w:hAnsi="Times New Roman"/>
          <w:b/>
          <w:i w:val="0"/>
          <w:sz w:val="24"/>
        </w:rPr>
        <w:t>V.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В силу пункта 1 статьи 61.9 Закона о банкротстве срок исковой давности исчисляется с момента, когда арбитражный управляющий узнал или должен был узнать о наличии оснований для оспаривания сделки. Конкурсный управляющий утверждён «[дата]»; документация Должника получена от бывшего руководителя «[дата]» [вариант: не передана, сведения о сделке получены из [источник]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Последствием недействительности Договора залога является прекращение залога: требование Кредитора в размере [сумма] руб. учитывается в реестре как не обеспеченное залогом имущества Должника, предмет залога включается в конкурсную массу без обременения. Определение суда является основанием для погашения регистрационной записи об ипотеке в ЕГРН. Денежные последствия не применяются, поскольку по Договору залога Должник имущества не передавал.</w:t>
      </w:r>
    </w:p>
    <w:p>
      <w:pPr>
        <w:spacing w:after="120" w:line="276" w:lineRule="auto"/>
        <w:jc w:val="center"/>
      </w:pPr>
      <w:r>
        <w:rPr>
          <w:rFonts w:ascii="Times New Roman" w:hAnsi="Times New Roman"/>
          <w:b/>
          <w:i w:val="0"/>
          <w:sz w:val="24"/>
        </w:rPr>
        <w:t>VII.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334 Гражданского кодекса Российской Федерации, статьями 2, 61.1, 61.2, 61.3, 61.4, 61.6, 61.8, 61.9, 129, 138 Федерального закона «О несостоятельности (банкротстве)», статьями 65, 125, 126,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Признать недействительным договор залога (ипотеки) от «[дата]» № [__], заключённый между [наименование Должника] и [наименование ответчика] в обеспечение обязательств по договору от «[дата]» № [__].</w:t>
      </w:r>
    </w:p>
    <w:p>
      <w:pPr>
        <w:spacing w:after="120" w:line="276" w:lineRule="auto"/>
        <w:ind w:firstLine="709"/>
        <w:jc w:val="both"/>
      </w:pPr>
      <w:r>
        <w:rPr>
          <w:rFonts w:ascii="Times New Roman" w:hAnsi="Times New Roman"/>
          <w:b w:val="0"/>
          <w:i w:val="0"/>
          <w:sz w:val="24"/>
        </w:rPr>
        <w:t>3. Применить последствия недействительности сделки: признать отсутствующим право залога [наименование ответчика] на [имущество]; указать, что определение является основанием для погашения в ЕГРН записи об ипотеке № [__] от «[дата]»; признать требование [наименование ответчика] в размере [сумма] руб. не обеспеченным залогом имущества Должника [внести изменения в реестр требований кредиторов].</w:t>
      </w:r>
    </w:p>
    <w:p>
      <w:pPr>
        <w:spacing w:after="120" w:line="276" w:lineRule="auto"/>
        <w:ind w:firstLine="709"/>
        <w:jc w:val="both"/>
      </w:pPr>
      <w:r>
        <w:rPr>
          <w:rFonts w:ascii="Times New Roman" w:hAnsi="Times New Roman"/>
          <w:b w:val="0"/>
          <w:i w:val="0"/>
          <w:sz w:val="24"/>
        </w:rPr>
        <w:t>4.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Копии основного договора и Договора залога; выписка из ЕГРН об ипотеке [уведомление о залоге движимого имущества].</w:t>
      </w:r>
    </w:p>
    <w:p>
      <w:pPr>
        <w:spacing w:after="40" w:line="276" w:lineRule="auto"/>
        <w:jc w:val="left"/>
      </w:pPr>
      <w:r>
        <w:rPr>
          <w:rFonts w:ascii="Times New Roman" w:hAnsi="Times New Roman"/>
          <w:b w:val="0"/>
          <w:i w:val="0"/>
          <w:sz w:val="24"/>
        </w:rPr>
        <w:t>4. Доказательства возникновения и просрочки основного обязательства до заключения Договора залога (акты сверки, претензии).</w:t>
      </w:r>
    </w:p>
    <w:p>
      <w:pPr>
        <w:spacing w:after="40" w:line="276" w:lineRule="auto"/>
        <w:jc w:val="left"/>
      </w:pPr>
      <w:r>
        <w:rPr>
          <w:rFonts w:ascii="Times New Roman" w:hAnsi="Times New Roman"/>
          <w:b w:val="0"/>
          <w:i w:val="0"/>
          <w:sz w:val="24"/>
        </w:rPr>
        <w:t>5. Доказательства наличия иных кредиторов на дату сделки; реестр требований кредиторов; определение о включении требования Кредитора как залогового [если принято].</w:t>
      </w:r>
    </w:p>
    <w:p>
      <w:pPr>
        <w:spacing w:after="40" w:line="276" w:lineRule="auto"/>
        <w:jc w:val="left"/>
      </w:pPr>
      <w:r>
        <w:rPr>
          <w:rFonts w:ascii="Times New Roman" w:hAnsi="Times New Roman"/>
          <w:b w:val="0"/>
          <w:i w:val="0"/>
          <w:sz w:val="24"/>
        </w:rPr>
        <w:t>6. Бухгалтерский баланс Должника (расчёт 1 % активов); переписка с Кредитором об отсрочке [если имеется].</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Залог по уже существующему долгу — самый «удобный» для оспаривания случай: абз. 2 п. 1 ст. 61.3 освобождает от доказывания осведомлённости кредитора в шестимесячный период. Для залога, выданного одновременно с кредитом, эта норма не работает — там нужен п. 2 ст. 61.2.</w:t>
      </w:r>
    </w:p>
    <w:p>
      <w:pPr>
        <w:spacing w:after="40" w:line="276" w:lineRule="auto"/>
        <w:jc w:val="both"/>
      </w:pPr>
      <w:r>
        <w:rPr>
          <w:rFonts w:ascii="Times New Roman" w:hAnsi="Times New Roman"/>
          <w:b w:val="0"/>
          <w:i/>
          <w:sz w:val="24"/>
        </w:rPr>
        <w:t>— Если требование кредитора уже включено в реестр как залоговое, одновременно просите изменить его статус (п. 6 ст. 16 Закона о банкротстве).</w:t>
      </w:r>
    </w:p>
    <w:p>
      <w:pPr>
        <w:spacing w:after="40" w:line="276" w:lineRule="auto"/>
        <w:jc w:val="both"/>
      </w:pPr>
      <w:r>
        <w:rPr>
          <w:rFonts w:ascii="Times New Roman" w:hAnsi="Times New Roman"/>
          <w:b w:val="0"/>
          <w:i/>
          <w:sz w:val="24"/>
        </w:rPr>
        <w:t>— Для залогов за пределами шести месяцев, но в пределах трёх лет — только п. 2 ст. 61.2: докажите неплатёжеспособность и осведомлённость кредитора.</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