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недействительной (ничтожной) мнимой сделки и применении последствий её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сделки</w:t>
      </w:r>
    </w:p>
    <w:p>
      <w:pPr>
        <w:spacing w:after="120" w:line="276" w:lineRule="auto"/>
        <w:ind w:firstLine="709"/>
        <w:jc w:val="both"/>
      </w:pPr>
      <w:r>
        <w:rPr>
          <w:rFonts w:ascii="Times New Roman" w:hAnsi="Times New Roman"/>
          <w:b w:val="0"/>
          <w:i w:val="0"/>
          <w:sz w:val="24"/>
        </w:rPr>
        <w:t>По договору купли-продажи от «[дата]» (далее — Договор) Должник продал [Ф. И. О. ответчика] [автомобиль [марка], VIN [__] / нежилое помещение, кадастровый номер [__] / оборудование] (далее — Имущество) за [сумма] руб. [Переход права зарегистрирован «[дата]».] Договор заключён «[дата]» — [на следующий день после возбуждения исполнительного производства / после получения претензии кредитора / за [__] дней до подачи заявления о банкротстве].</w:t>
      </w:r>
    </w:p>
    <w:p>
      <w:pPr>
        <w:spacing w:after="120" w:line="276" w:lineRule="auto"/>
        <w:ind w:firstLine="709"/>
        <w:jc w:val="both"/>
      </w:pPr>
      <w:r>
        <w:rPr>
          <w:rFonts w:ascii="Times New Roman" w:hAnsi="Times New Roman"/>
          <w:b w:val="0"/>
          <w:i w:val="0"/>
          <w:sz w:val="24"/>
        </w:rPr>
        <w:t>Исполнение Договора носило исключительно формальный характер. Оплата: деньги на счета Должника не поступали, расписка отсутствует [составлена одновременно с Договором без доказательств наличия у ответчика средств]. Владение: Имущество осталось у Должника — [автомобиль находится у дома Должника и используется им (фотографии, сведения о штрафах ГИБДД на имя Должника, полис ОСАГО с Должником как водителем) / помещение используется Должником, он оплачивает коммунальные услуги и налоги, сдаёт его в аренду и получает плату / оборудование продолжает эксплуатироваться в бизнесе Должника]. Ответчик бремени собственника не несёт: [не платит транспортный налог / не заключал договоров на обслуживание / не страховал имущество]. Ответчик — [родственник / знакомый / работник] Должника.</w:t>
      </w:r>
    </w:p>
    <w:p>
      <w:pPr>
        <w:spacing w:after="120" w:line="276" w:lineRule="auto"/>
        <w:ind w:firstLine="709"/>
        <w:jc w:val="both"/>
      </w:pPr>
      <w:r>
        <w:rPr>
          <w:rFonts w:ascii="Times New Roman" w:hAnsi="Times New Roman"/>
          <w:b w:val="0"/>
          <w:i w:val="0"/>
          <w:sz w:val="24"/>
        </w:rPr>
        <w:t>Сделка совершена [более чем за три года до принятия заявления о банкротстве («[дата]»), поэтому не может быть оспорена по статье 61.2 Закона о банкротстве / в трёхлетний период, однако её пороки — полное отсутствие воли сторон на создание правовых последствий — выходят за пределы подозрительной сделки]. Пунктом 1 статьи 61.1 Закона о банкротстве установлено: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II. Долги Должника на дату сделки и цель сделки</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ind w:firstLine="709"/>
        <w:jc w:val="both"/>
      </w:pPr>
      <w:r>
        <w:rPr>
          <w:rFonts w:ascii="Times New Roman" w:hAnsi="Times New Roman"/>
          <w:b w:val="0"/>
          <w:i w:val="0"/>
          <w:sz w:val="24"/>
        </w:rPr>
        <w:t>Единственная разумная цель формальной смены собственника при сохранении имущества у Должника — исключить его из состава имущества, на которое может быть обращено взыскание кредиторами.</w:t>
      </w:r>
    </w:p>
    <w:p>
      <w:pPr>
        <w:spacing w:after="120" w:line="276" w:lineRule="auto"/>
        <w:jc w:val="center"/>
      </w:pPr>
      <w:r>
        <w:rPr>
          <w:rFonts w:ascii="Times New Roman" w:hAnsi="Times New Roman"/>
          <w:b/>
          <w:i w:val="0"/>
          <w:sz w:val="24"/>
        </w:rPr>
        <w:t>III. Правовое обоснование</w:t>
      </w:r>
    </w:p>
    <w:p>
      <w:pPr>
        <w:spacing w:after="120" w:line="276" w:lineRule="auto"/>
        <w:ind w:firstLine="709"/>
        <w:jc w:val="both"/>
      </w:pPr>
      <w:r>
        <w:rPr>
          <w:rFonts w:ascii="Times New Roman" w:hAnsi="Times New Roman"/>
          <w:b/>
          <w:i w:val="0"/>
          <w:sz w:val="24"/>
        </w:rPr>
        <w:t>Мнимость сделки (пункт 1 статьи 170 ГК РФ).</w:t>
      </w:r>
      <w:r>
        <w:rPr>
          <w:rFonts w:ascii="Times New Roman" w:hAnsi="Times New Roman"/>
          <w:b w:val="0"/>
          <w:i w:val="0"/>
          <w:sz w:val="24"/>
        </w:rPr>
        <w:t xml:space="preserve"> Пунктом 1 статьи 170 ГК РФ установлено: «Мнимая сделка, то есть сделка, совершенная лишь для вида, без намерения создать соответствующие ей правовые последствия, ничтожна.» Пунктом 86 Постановления № 25 разъяснено: «Следует учитывать, что стороны такой сделки могут также осуществить для вида ее формальное исполнение. Например, во избежание обращения взыскания на движимое имущество должника заключить договоры купли-продажи или доверительного управления и составить акты о передаче данного имущества, при этом сохранив контроль соответственно продавца или учредителя управления за ним. Равным образом осуществление сторонами мнимой сделки для вида государственной регистрации перехода права собственности на недвижимое имущество не препятствует квалификации такой сделки как ничтожной на основании пункта 1 статьи 170 ГК РФ.»</w:t>
      </w:r>
    </w:p>
    <w:p>
      <w:pPr>
        <w:spacing w:after="120" w:line="276" w:lineRule="auto"/>
        <w:ind w:firstLine="709"/>
        <w:jc w:val="both"/>
      </w:pPr>
      <w:r>
        <w:rPr>
          <w:rFonts w:ascii="Times New Roman" w:hAnsi="Times New Roman"/>
          <w:b w:val="0"/>
          <w:i w:val="0"/>
          <w:sz w:val="24"/>
        </w:rPr>
        <w:t>Признаки мнимости Договора доказаны совокупностью обстоятельств: отсутствие оплаты; сохранение владения и пользования за Должником; несение Должником расходов на содержание Имущества; отсутствие у ответчика интереса собственника; доверительные отношения сторон; совпадение даты сделки с предъявлением требований кредиторов. Формальная передача (акт, регистрация) мнимости не исключает (пункт 86 Постановления № 25). Пунктом 1 статьи 170 ГК РФ мнимая сделка объявлена ничтожной независимо от признания её таковой судом (пункт 1 статьи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pPr>
        <w:spacing w:after="120" w:line="276" w:lineRule="auto"/>
        <w:ind w:firstLine="709"/>
        <w:jc w:val="both"/>
      </w:pPr>
      <w:r>
        <w:rPr>
          <w:rFonts w:ascii="Times New Roman" w:hAnsi="Times New Roman"/>
          <w:b/>
          <w:i w:val="0"/>
          <w:sz w:val="24"/>
        </w:rPr>
        <w:t>Право финансового управляющего на иск.</w:t>
      </w:r>
      <w:r>
        <w:rPr>
          <w:rFonts w:ascii="Times New Roman" w:hAnsi="Times New Roman"/>
          <w:b w:val="0"/>
          <w:i w:val="0"/>
          <w:sz w:val="24"/>
        </w:rPr>
        <w:t xml:space="preserve"> Пунктом 3 статьи 166 ГК РФ установлено: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 Пунктом 78 Постановления № 25 разъяснено: «Исходя из системного толкования пункта 1 статьи 1, пункта 3 статьи 166 и пункта 2 статьи 168 ГК РФ иск лица, не являющегося стороной ничтожной сделки, о применении последствий ее недействительности может также быть удовлетворен, если гражданским законодательством не установлен иной способ защиты права этого лица и его защита возможна лишь путем применения последствий недействительности ничтожной сделки.» Интерес заявителя состоит в возврате Имущества в конкурсную массу для расчётов с кредиторами.</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Мнимая сделка, направленная на сокрытие имущества от кредиторов, одновременно является злоупотреблением правом (статьи 10, 168 ГК РФ, пункт 10 Постановления № 32).</w:t>
      </w:r>
    </w:p>
    <w:p>
      <w:pPr>
        <w:spacing w:after="120" w:line="276" w:lineRule="auto"/>
        <w:ind w:firstLine="709"/>
        <w:jc w:val="both"/>
      </w:pPr>
      <w:r>
        <w:rPr>
          <w:rFonts w:ascii="Times New Roman" w:hAnsi="Times New Roman"/>
          <w:b w:val="0"/>
          <w:i w:val="0"/>
          <w:sz w:val="24"/>
        </w:rPr>
        <w:t>[Поскольку сделка совершена в трёхлетний период, заявитель дополнительно ссылается на пункт 2 статьи 61.2 Закона о банкротстве: сделка совершена при неплатёжеспособности в пользу заинтересованного лица с сохранением контроля над имуществом (абзац пятый пункта 2 статьи 61.2).]</w:t>
      </w:r>
    </w:p>
    <w:p>
      <w:pPr>
        <w:spacing w:after="120" w:line="276" w:lineRule="auto"/>
        <w:jc w:val="center"/>
      </w:pPr>
      <w:r>
        <w:rPr>
          <w:rFonts w:ascii="Times New Roman" w:hAnsi="Times New Roman"/>
          <w:b/>
          <w:i w:val="0"/>
          <w:sz w:val="24"/>
        </w:rPr>
        <w:t>IV. Срок исковой давности</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ind w:firstLine="709"/>
        <w:jc w:val="both"/>
      </w:pPr>
      <w:r>
        <w:rPr>
          <w:rFonts w:ascii="Times New Roman" w:hAnsi="Times New Roman"/>
          <w:b w:val="0"/>
          <w:i w:val="0"/>
          <w:sz w:val="24"/>
        </w:rPr>
        <w:t>Заявитель не является стороной сделки и узнал о ней «[дата]» из [ответа ГИБДД / выписки ЕГРН]; первая процедура введена «[дата]». Срок не пропущен.</w:t>
      </w:r>
    </w:p>
    <w:p>
      <w:pPr>
        <w:spacing w:after="120" w:line="276" w:lineRule="auto"/>
        <w:jc w:val="center"/>
      </w:pPr>
      <w:r>
        <w:rPr>
          <w:rFonts w:ascii="Times New Roman" w:hAnsi="Times New Roman"/>
          <w:b/>
          <w:i w:val="0"/>
          <w:sz w:val="24"/>
        </w:rPr>
        <w:t>V.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Поскольку Имущество фактически не выбывало из владения Должника, последствием признания Договора ничтожным является признание права собственности Должника на Имущество и его включение в конкурсную массу; для недвижимости и транспорта определение суда — основание для внесения записей в ЕГРН (учётных данных ГИБДД). Денежные обязательства между сторонами не восстанавливаются ввиду отсутствия оплаты.</w:t>
      </w:r>
    </w:p>
    <w:p>
      <w:pPr>
        <w:spacing w:after="120" w:line="276" w:lineRule="auto"/>
        <w:jc w:val="center"/>
      </w:pPr>
      <w:r>
        <w:rPr>
          <w:rFonts w:ascii="Times New Roman" w:hAnsi="Times New Roman"/>
          <w:b/>
          <w:i w:val="0"/>
          <w:sz w:val="24"/>
        </w:rPr>
        <w:t>VI.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титульный собственник способен в любой момент передать Имущество третьему лицу, создав фигуру добросовестного приобретателя. Испрашиваемая мера в виде запрета [Росреестру / Госавтоинспекции] совершать регистрационные действия в отношении Имущества и запрета ответчику отчуждать его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170 Гражданского кодекса Российской Федерации, статьями 2, 19, 61.1, 61.2, 61.6, 61.8, 213.9, 213.25, 213.32 Федерального закона «О несостоятельности (банкротстве)», статьями 65, 90, 91, 92, 125, 126,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[Управление Росреестра по субъекту / Госавтоинспекция] совершать регистрационные действия в отношении [Имущество, идентификаторы]; запретить [Ф. И. О. ответчика] отчуждать и обременять Имущество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 (ничтожным) договор купли-продажи от «[дата]», заключённый между [Ф. И. О. Должника] и [Ф. И. О. ответчика] в отношении [Имущество].</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признать право собственности [Ф. И. О. Должника] на [Имущество] и включить его в конкурсную массу; указать, что определение является основанием для внесения записей в ЕГРН [изменения регистрационных данных в ГИБДД].</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Копия Договора; выписки из ЕГРН / сведения ГИБДД о регистрации Имущества.</w:t>
      </w:r>
    </w:p>
    <w:p>
      <w:pPr>
        <w:spacing w:after="40" w:line="276" w:lineRule="auto"/>
        <w:jc w:val="left"/>
      </w:pPr>
      <w:r>
        <w:rPr>
          <w:rFonts w:ascii="Times New Roman" w:hAnsi="Times New Roman"/>
          <w:b w:val="0"/>
          <w:i w:val="0"/>
          <w:sz w:val="24"/>
        </w:rPr>
        <w:t>4. Доказательства сохранения Имущества у Должника: фотографии, сведения о штрафах и страховании, квитанции об оплате налогов и ЖКУ, договоры аренды, акты осмотра, свидетельские показания.</w:t>
      </w:r>
    </w:p>
    <w:p>
      <w:pPr>
        <w:spacing w:after="40" w:line="276" w:lineRule="auto"/>
        <w:jc w:val="left"/>
      </w:pPr>
      <w:r>
        <w:rPr>
          <w:rFonts w:ascii="Times New Roman" w:hAnsi="Times New Roman"/>
          <w:b w:val="0"/>
          <w:i w:val="0"/>
          <w:sz w:val="24"/>
        </w:rPr>
        <w:t>5. Выписки по счетам Должника (отсутствие оплаты); сведения о доходах ответчика.</w:t>
      </w:r>
    </w:p>
    <w:p>
      <w:pPr>
        <w:spacing w:after="40" w:line="276" w:lineRule="auto"/>
        <w:jc w:val="left"/>
      </w:pPr>
      <w:r>
        <w:rPr>
          <w:rFonts w:ascii="Times New Roman" w:hAnsi="Times New Roman"/>
          <w:b w:val="0"/>
          <w:i w:val="0"/>
          <w:sz w:val="24"/>
        </w:rPr>
        <w:t>6. Доказательства отношений сторон (родство, совместная работа, совместное проживание).</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Мнимость доказывается фактами владения и расходов: кто пользуется, кто платит налоги и страховку, кто получает доход. Соберите эти доказательства до подачи; одной «заниженной цены» для ст. 170 недостаточно.</w:t>
      </w:r>
    </w:p>
    <w:p>
      <w:pPr>
        <w:spacing w:after="40" w:line="276" w:lineRule="auto"/>
        <w:jc w:val="both"/>
      </w:pPr>
      <w:r>
        <w:rPr>
          <w:rFonts w:ascii="Times New Roman" w:hAnsi="Times New Roman"/>
          <w:b w:val="0"/>
          <w:i/>
          <w:sz w:val="24"/>
        </w:rPr>
        <w:t>— Трёхлетний срок давности по ничтожной сделке (п. 1 ст. 181 ГК РФ) считается не ранее введения первой процедуры банкротства (п. 10 Постановления № 32) — это позволяет оспаривать старые сделки.</w:t>
      </w:r>
    </w:p>
    <w:p>
      <w:pPr>
        <w:spacing w:after="40" w:line="276" w:lineRule="auto"/>
        <w:jc w:val="both"/>
      </w:pPr>
      <w:r>
        <w:rPr>
          <w:rFonts w:ascii="Times New Roman" w:hAnsi="Times New Roman"/>
          <w:b w:val="0"/>
          <w:i/>
          <w:sz w:val="24"/>
        </w:rPr>
        <w:t>— Если имущество впоследствии перепродано «покупателем» третьему лицу, конструкция мнимости усложняется — рассмотрите образец о цепочке сделок.</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