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конкурсный управляющий должника</w:t>
      </w:r>
      <w:r>
        <w:rPr>
          <w:rFonts w:ascii="Times New Roman" w:hAnsi="Times New Roman"/>
          <w:b w:val="0"/>
          <w:i w:val="0"/>
          <w:sz w:val="24"/>
        </w:rPr>
        <w:br/>
        <w:t>[Ф. И. О. конкурсного управляющего]</w:t>
      </w:r>
      <w:r>
        <w:rPr>
          <w:rFonts w:ascii="Times New Roman" w:hAnsi="Times New Roman"/>
          <w:b w:val="0"/>
          <w:i w:val="0"/>
          <w:sz w:val="24"/>
        </w:rPr>
        <w:br/>
        <w:t>ИНН [__________], СНИЛС [__________], номер в сводном реестре арбитражных управляющих [_____]</w:t>
      </w:r>
      <w:r>
        <w:rPr>
          <w:rFonts w:ascii="Times New Roman" w:hAnsi="Times New Roman"/>
          <w:b w:val="0"/>
          <w:i w:val="0"/>
          <w:sz w:val="24"/>
        </w:rPr>
        <w:br/>
        <w:t>член [наименование СРО арбитражных управляющих] (ОГРН [__________], ИНН [__________], адрес: [__________])</w:t>
      </w:r>
      <w:r>
        <w:rPr>
          <w:rFonts w:ascii="Times New Roman" w:hAnsi="Times New Roman"/>
          <w:b w:val="0"/>
          <w:i w:val="0"/>
          <w:sz w:val="24"/>
        </w:rPr>
        <w:br/>
        <w:t>адрес для корреспонденции: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[полное наименование организации-ответчика]</w:t>
      </w:r>
      <w:r>
        <w:rPr>
          <w:rFonts w:ascii="Times New Roman" w:hAnsi="Times New Roman"/>
          <w:b w:val="0"/>
          <w:i w:val="0"/>
          <w:sz w:val="24"/>
        </w:rPr>
        <w:br/>
        <w:t>адрес: [адрес из ЕГРЮЛ]</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Должник: </w:t>
      </w:r>
      <w:r>
        <w:rPr>
          <w:rFonts w:ascii="Times New Roman" w:hAnsi="Times New Roman"/>
          <w:b w:val="0"/>
          <w:i w:val="0"/>
          <w:sz w:val="24"/>
        </w:rPr>
        <w:t>[полное наименование должника]</w:t>
      </w:r>
      <w:r>
        <w:rPr>
          <w:rFonts w:ascii="Times New Roman" w:hAnsi="Times New Roman"/>
          <w:b w:val="0"/>
          <w:i w:val="0"/>
          <w:sz w:val="24"/>
        </w:rPr>
        <w:br/>
        <w:t>ОГРН [__________], ИНН [__________]</w:t>
      </w:r>
      <w:r>
        <w:rPr>
          <w:rFonts w:ascii="Times New Roman" w:hAnsi="Times New Roman"/>
          <w:b w:val="0"/>
          <w:i w:val="0"/>
          <w:sz w:val="24"/>
        </w:rPr>
        <w:br/>
        <w:t>адрес: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25 000 руб. — за требование о признании сделки недействительной (подп. 2 п. 1 ст. 333.21 НК РФ: 50 000 руб. для организаций, с учётом подп. 9 п. 1 той же статьи — 50 %) [+ 15 000 руб. за ходатайство об обеспечительных мерах: подп. 17 п. 1 ст. 333.21 НК РФ с учётом подп. 9 п. 1] [заявлено ходатайство об отсрочке уплаты]</w:t>
      </w:r>
    </w:p>
    <w:p>
      <w:pPr>
        <w:spacing w:after="0" w:line="276" w:lineRule="auto"/>
        <w:jc w:val="center"/>
      </w:pPr>
      <w:r>
        <w:rPr>
          <w:rFonts w:ascii="Times New Roman" w:hAnsi="Times New Roman"/>
          <w:b/>
          <w:i w:val="0"/>
          <w:sz w:val="24"/>
        </w:rPr>
        <w:t>ЗАЯВЛЕНИЕ</w:t>
      </w:r>
    </w:p>
    <w:p>
      <w:pPr>
        <w:spacing w:after="240" w:line="276" w:lineRule="auto"/>
        <w:jc w:val="center"/>
      </w:pPr>
      <w:r>
        <w:rPr>
          <w:rFonts w:ascii="Times New Roman" w:hAnsi="Times New Roman"/>
          <w:b/>
          <w:i w:val="0"/>
          <w:sz w:val="24"/>
        </w:rPr>
        <w:t>о признании недействительными взаимосвязанных сделок по переводу имущества, договоров и персонала должника на подконтрольное общество и применении последствий недействительности (с ходатайством об обеспечительных мерах)</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[полное наименование] (далее — Должник) признано несостоятельным (банкротом), открыто конкурсное производство, конкурсным управляющим утверждён [Ф. И. О.] (далее — Конкурсный управляющий). [Определением от «[дата]» в отношении Должника была введена процедура наблюдения.] Заявление о признании Должника банкротом принято к производству определением суда от «[дата]» (далее — дата принятия заявления о банкротстве). В реестр требований кредиторов включены требования на общую сумму [сумма] руб.</w:t>
      </w:r>
    </w:p>
    <w:p>
      <w:pPr>
        <w:spacing w:after="120" w:line="276" w:lineRule="auto"/>
        <w:ind w:firstLine="709"/>
        <w:jc w:val="both"/>
      </w:pPr>
      <w:r>
        <w:rPr>
          <w:rFonts w:ascii="Times New Roman" w:hAnsi="Times New Roman"/>
          <w:b/>
          <w:i w:val="0"/>
          <w:sz w:val="24"/>
        </w:rPr>
        <w:t>Право на подачу заявления и подсудность.</w:t>
      </w:r>
      <w:r>
        <w:rPr>
          <w:rFonts w:ascii="Times New Roman" w:hAnsi="Times New Roman"/>
          <w:b w:val="0"/>
          <w:i w:val="0"/>
          <w:sz w:val="24"/>
        </w:rPr>
        <w:t xml:space="preserve"> Пунктом 1 статьи 61.9 Федерального закона от 26.10.2002 № 127-ФЗ «О несостоятельности (банкротстве)» (далее — Закон о банкротстве) установлено: «Заявление об оспаривании сделки должника может быть подано в арбитражный суд внешним управляющим или конкурсным управляющим от имени должника по своей инициативе либо по решению собрания кредиторов или комитета кредиторов, при этом срок исковой давности исчисляется с момента, когда арбитражный управляющий узнал или должен был узнать о наличии оснований для оспаривания сделки, предусмотренных настоящим Федеральным законом. Голоса кредитора, в отношении которого или в отношении аффилированных лиц которого совершена сделка, не учитываются при определении кворума и принятии решения собранием (комитетом) кредиторов по вопросу о подаче заявления об оспаривании этой сделки. Если заявление об оспаривании сделки во исполнение решения собрания (комитета) кредиторов не будет подано арбитражным управляющим в течение установленного данным решением срока, такое заявление может быть подано представителем собрания (комитета) кредиторов или иным лицом, уполномоченным решением собрания (комитета) кредиторов.» Абзацем пятым пункта 3 статьи 129 Закона о банкротстве конкурсному управляющему предоставлено право «подавать в арбитражный суд от имени должника заявления о признании недействительными сделок и решений, а также о применении последствий недействительности ничтожных сделок, заключенных или исполненных должником, иски о взыскании убытков, причиненных действиями (бездействием) руководителя должника, лиц, входящих в совет директоров (наблюдательный совет), коллегиальный исполнительный орган или иной орган управления должника, собственника имущества должника, лицами, действовавшими от имени должника в соответствии с доверенностью, иными лицами, действовавшими в соответствии с учредительными документами должника, предъявлять иски об истребовании имущества должника у третьих лиц, о расторжении договоров, заключенных должником, и совершать другие действия, предусмотренные федеральными законами и иными нормативными правовыми актами Российской Федерации и направленные на возврат имущества должника». Пунктом 1 статьи 61.8 Закона о банкротстве установлено: «Заявление об оспаривании сделки должника подается в арбитражный суд, рассматривающий дело о банкротстве должника, и подлежит рассмотрению в деле о банкротстве должника.» Согласно пункту 1 статьи 61.1 Закона о банкротстве «Сделки, совершенные должником или другими лицами за счет должника, могут быть признаны недействительными в соответствии с Гражданским кодексом Российской Федерации, а также по основаниям и в порядке, которые указаны в настоящем Федеральном законе.»</w:t>
      </w:r>
    </w:p>
    <w:p>
      <w:pPr>
        <w:spacing w:after="120" w:line="276" w:lineRule="auto"/>
        <w:jc w:val="center"/>
      </w:pPr>
      <w:r>
        <w:rPr>
          <w:rFonts w:ascii="Times New Roman" w:hAnsi="Times New Roman"/>
          <w:b/>
          <w:i w:val="0"/>
          <w:sz w:val="24"/>
        </w:rPr>
        <w:t>I. Обстоятельства совершения сделок</w:t>
      </w:r>
    </w:p>
    <w:p>
      <w:pPr>
        <w:spacing w:after="120" w:line="276" w:lineRule="auto"/>
        <w:ind w:firstLine="709"/>
        <w:jc w:val="both"/>
      </w:pPr>
      <w:r>
        <w:rPr>
          <w:rFonts w:ascii="Times New Roman" w:hAnsi="Times New Roman"/>
          <w:b w:val="0"/>
          <w:i w:val="0"/>
          <w:sz w:val="24"/>
        </w:rPr>
        <w:t>Должник с [год] осуществлял деятельность по [виду деятельности] по адресу [__]; выручка за [год] — [сумма] руб., штат — [__] работников, основные контрагенты — [__]. «[дата]» зарегистрировано ООО «[наименование]» (ОГРН [__], далее — Общество, ответчик) с тем же видом деятельности; участник Общества — [Ф. И. О., супруга (сын) руководителя Должника / бывший коммерческий директор Должника], адрес — тот же, что у Должника. В течение [__] месяцев после создания Общества совершены следующие взаимосвязанные сделки (далее — Сделки): (1) договором от «[дата]» Должник продал Обществу [оборудование / товарные остатки / транспорт] балансовой стоимостью [сумма] руб. за [сумма] руб.; (2) «[дата]» Должник расторг договор аренды [помещения / производственной площадки], а «[дата]» арендодатель заключил договор аренды того же объекта с Обществом; (3) «[дата]» — «[дата]» [__] работников Должника уволены и приняты в Общество; (4) соглашениями от «[дата]» права и обязанности Должника по договорам с [контрагенты] переведены на Общество [либо контрагенты перезаключили договоры с Обществом по письмам Должника]; (5) «[дата]» Должнику уступлены Обществу [права на товарный знак / доменное имя / телефонные номера / клиентскую базу] за [сумма] руб. Выручка Должника с «[дата]» упала до нуля, выручка Общества за первый год составила [сумма] руб.</w:t>
      </w:r>
    </w:p>
    <w:p>
      <w:pPr>
        <w:spacing w:after="120" w:line="276" w:lineRule="auto"/>
        <w:ind w:firstLine="709"/>
        <w:jc w:val="both"/>
      </w:pPr>
      <w:r>
        <w:rPr>
          <w:rFonts w:ascii="Times New Roman" w:hAnsi="Times New Roman"/>
          <w:b w:val="0"/>
          <w:i w:val="0"/>
          <w:sz w:val="24"/>
        </w:rPr>
        <w:t>Каждая из Сделок по отдельности выглядит как обычная хозяйственная операция, однако в совокупности они привели к тому, что всё предприятие Должника как имущественный комплекс (статья 132 ГК РФ) перешло к Обществу, а у Должника остались только долги.</w:t>
      </w:r>
    </w:p>
    <w:p>
      <w:pPr>
        <w:spacing w:after="120" w:line="276" w:lineRule="auto"/>
        <w:ind w:firstLine="709"/>
        <w:jc w:val="both"/>
      </w:pPr>
      <w:r>
        <w:rPr>
          <w:rFonts w:ascii="Times New Roman" w:hAnsi="Times New Roman"/>
          <w:b/>
          <w:i w:val="0"/>
          <w:sz w:val="24"/>
        </w:rPr>
        <w:t>Период подозрительности.</w:t>
      </w:r>
      <w:r>
        <w:rPr>
          <w:rFonts w:ascii="Times New Roman" w:hAnsi="Times New Roman"/>
          <w:b w:val="0"/>
          <w:i w:val="0"/>
          <w:sz w:val="24"/>
        </w:rPr>
        <w:t xml:space="preserve"> Заявление о признании Должника банкротом принято к производству «[дата]». Оспариваемая сделка совершена «[дата]», то есть в течение трёх лет до принятия заявления о признании Должника банкротом, и подпадает под период, установленный пунктом 2 статьи 61.2 Закона о банкротстве [отдельные Сделки — в годичный период пункта 1 той же статьи].</w:t>
      </w:r>
    </w:p>
    <w:p>
      <w:pPr>
        <w:spacing w:after="120" w:line="276" w:lineRule="auto"/>
        <w:jc w:val="center"/>
      </w:pPr>
      <w:r>
        <w:rPr>
          <w:rFonts w:ascii="Times New Roman" w:hAnsi="Times New Roman"/>
          <w:b/>
          <w:i w:val="0"/>
          <w:sz w:val="24"/>
        </w:rPr>
        <w:t>II. Неисполненные обязательства Должника на дату сделок</w:t>
      </w:r>
    </w:p>
    <w:p>
      <w:pPr>
        <w:spacing w:after="120" w:line="276" w:lineRule="auto"/>
        <w:ind w:firstLine="709"/>
        <w:jc w:val="both"/>
      </w:pPr>
      <w:r>
        <w:rPr>
          <w:rFonts w:ascii="Times New Roman" w:hAnsi="Times New Roman"/>
          <w:b w:val="0"/>
          <w:i w:val="0"/>
          <w:sz w:val="24"/>
        </w:rPr>
        <w:t>На дату совершения сделки Должник имел неисполненные обязательства: перед [кредитор 1] — [сумма] руб. (решение Арбитражного суда [__] от «[дата]» по делу № [__], требование включено в реестр); перед [кредитор 2] — [сумма] руб.; перед уполномоченным органом — [сумма] руб. (требование от «[дата]» № [__]). По данным бухгалтерского баланса на [отчётная дата] обязательства Должника ([сумма] руб.) превышали стоимость активов ([сумма] руб.); картотека неисполненных платёжных документов по счёту ведётся с «[дата]». Следовательно, Должник отвечал признакам неплатёжеспособности и недостаточности имущества (статья 2 Закона о банкротстве).</w:t>
      </w:r>
    </w:p>
    <w:p>
      <w:pPr>
        <w:spacing w:after="120" w:line="276" w:lineRule="auto"/>
        <w:jc w:val="center"/>
      </w:pPr>
      <w:r>
        <w:rPr>
          <w:rFonts w:ascii="Times New Roman" w:hAnsi="Times New Roman"/>
          <w:b/>
          <w:i w:val="0"/>
          <w:sz w:val="24"/>
        </w:rPr>
        <w:t>III. Вред кредиторам</w:t>
      </w:r>
    </w:p>
    <w:p>
      <w:pPr>
        <w:spacing w:after="120" w:line="276" w:lineRule="auto"/>
        <w:ind w:firstLine="709"/>
        <w:jc w:val="both"/>
      </w:pPr>
      <w:r>
        <w:rPr>
          <w:rFonts w:ascii="Times New Roman" w:hAnsi="Times New Roman"/>
          <w:b w:val="0"/>
          <w:i w:val="0"/>
          <w:sz w:val="24"/>
        </w:rPr>
        <w:t>Статьёй 2 Закона о банкротстве определено: «вред, причиненный имущественным правам кредиторов, - уменьшение стоимости или размера имущества должника и (или) увеличение размера имущественных требований к должнику, а также иные последствия совершенных должником сделок или юридически значимых действий либо бездействия, приводящие к полной или частичной утрате возможности кредиторов получить удовлетворение своих требований по обязательствам должника за счет его имущества; неплатежеспособность - прекращение исполнения должником части денежных обязательств или обязанностей по уплате обязательных платежей, вызванное недостаточностью денежных средств. При этом недостаточность денежных средств предполагается, если не доказано иное; недостаточность имущества - превышение размера денежных обязательств и обязанностей по уплате обязательных платежей должника над стоимостью имущества (активов) должника».</w:t>
      </w:r>
    </w:p>
    <w:p>
      <w:pPr>
        <w:spacing w:after="120" w:line="276" w:lineRule="auto"/>
        <w:ind w:firstLine="709"/>
        <w:jc w:val="both"/>
      </w:pPr>
      <w:r>
        <w:rPr>
          <w:rFonts w:ascii="Times New Roman" w:hAnsi="Times New Roman"/>
          <w:b w:val="0"/>
          <w:i w:val="0"/>
          <w:sz w:val="24"/>
        </w:rPr>
        <w:t>Вред состоит не только в продаже имущества ниже стоимости, но и в утрате Должником бизнеса как источника дохода: стоимость действующего предприятия (с клиентской базой, персоналом, арендой и репутацией) существенно превышает сумму балансовых стоимостей отдельных активов. Общество получило всё это [безвозмездно / за [сумма] руб.], тогда как кредиторы Должника лишились возможности удовлетворения как за счёт имущества, так и за счёт будущих доходов. Оценка стоимости бизнеса Должника на дату начала перевода — [сумма] руб. (отчёт об оценке / заключение специалиста).</w:t>
      </w:r>
    </w:p>
    <w:p>
      <w:pPr>
        <w:spacing w:after="120" w:line="276" w:lineRule="auto"/>
        <w:jc w:val="center"/>
      </w:pPr>
      <w:r>
        <w:rPr>
          <w:rFonts w:ascii="Times New Roman" w:hAnsi="Times New Roman"/>
          <w:b/>
          <w:i w:val="0"/>
          <w:sz w:val="24"/>
        </w:rPr>
        <w:t>IV. Заинтересованность ответчика</w:t>
      </w:r>
    </w:p>
    <w:p>
      <w:pPr>
        <w:spacing w:after="120" w:line="276" w:lineRule="auto"/>
        <w:ind w:firstLine="709"/>
        <w:jc w:val="both"/>
      </w:pPr>
      <w:r>
        <w:rPr>
          <w:rFonts w:ascii="Times New Roman" w:hAnsi="Times New Roman"/>
          <w:b/>
          <w:i w:val="0"/>
          <w:sz w:val="24"/>
        </w:rPr>
        <w:t>Заинтересованность ответчика.</w:t>
      </w:r>
      <w:r>
        <w:rPr>
          <w:rFonts w:ascii="Times New Roman" w:hAnsi="Times New Roman"/>
          <w:b w:val="0"/>
          <w:i w:val="0"/>
          <w:sz w:val="24"/>
        </w:rPr>
        <w:t xml:space="preserve"> Пунктами 1 и 2 статьи 19 Закона о банкротстве установлено: «В целях настоящего Федерального закона заинтересованными лицами по отношению к должнику признаются: лицо, которое в соответствии с Федеральным законом от 26 июля 2006 года N 135-ФЗ "О защите конкуренции" входит в одну группу лиц с должником; лицо, которое является аффилированным лицом должника. 2. Заинтересованными лицами по отношению к должнику - юридическому лицу признаются также: руководитель должника, а также лица, входящие в совет директоров (наблюдательный совет), коллегиальный исполнительный орган или иной орган управления должника, главный бухгалтер (бухгалтер) должника, в том числе указанные лица, освобожденные от своих обязанностей в течение года до момента возбуждения производства по делу о банкротстве или до даты назначения временной администрации финансовой организации (в зависимости от того, какая дата наступила ранее), либо лицо, имеющее или имевшее в течение указанного периода возможность определять действия должника; лица, находящиеся с физическими лицами, указанными в абзаце втором настоящего пункта, в отношениях, определенных пунктом 3 настоящей статьи». Ответчик [входит в одну группу лиц с Должником / является участником (руководителем) Должника / контролируется тем же лицом — [Ф. И. О.] / является супругом (родственником) руководителя Должника], что подтверждается выписками из ЕГРЮЛ, [списком участников, сведениями ЗАГС]. Осведомлённость заинтересованного лица о цели причинения вреда кредиторам презюмируется (абзац первый пункта 2 статьи 61.2 Закона о банкротстве, пункт 7 Постановления № 63).</w:t>
      </w:r>
    </w:p>
    <w:p>
      <w:pPr>
        <w:spacing w:after="120" w:line="276" w:lineRule="auto"/>
        <w:ind w:firstLine="709"/>
        <w:jc w:val="both"/>
      </w:pPr>
      <w:r>
        <w:rPr>
          <w:rFonts w:ascii="Times New Roman" w:hAnsi="Times New Roman"/>
          <w:b w:val="0"/>
          <w:i w:val="0"/>
          <w:sz w:val="24"/>
        </w:rPr>
        <w:t>Если формальная связь между сторонами не прослеживается, о фактической аффилированности свидетельствуют условия сделки, недоступные независимым участникам оборота: [отсутствие оплаты и мер по её истребованию, сохранение имущества во владении Должника, совпадение адресов и представителей, общие сотрудники, расчёты «по кругу»] (определение Верховного Суда Российской Федерации от 15.06.2016 № 308-ЭС16-1475). Такое поведение сторон переносит на ответчика бремя раскрытия разумных экономических мотивов сделки (определение Верховного Суда Российской Федерации от 26.05.2017 № 306-ЭС16-20056(6)).</w:t>
      </w:r>
    </w:p>
    <w:p>
      <w:pPr>
        <w:spacing w:after="120" w:line="276" w:lineRule="auto"/>
        <w:ind w:firstLine="709"/>
        <w:jc w:val="both"/>
      </w:pPr>
      <w:r>
        <w:rPr>
          <w:rFonts w:ascii="Times New Roman" w:hAnsi="Times New Roman"/>
          <w:b w:val="0"/>
          <w:i w:val="0"/>
          <w:sz w:val="24"/>
        </w:rPr>
        <w:t>Общество создано непосредственно перед Сделками лицами, связанными с руководством Должника, не имело собственных ресурсов и начало деятельность исключительно на базе активов, персонала и контрактов Должника; это свидетельствует о едином центре принятия решений и о цели Сделок.</w:t>
      </w:r>
    </w:p>
    <w:p>
      <w:pPr>
        <w:spacing w:after="120" w:line="276" w:lineRule="auto"/>
        <w:jc w:val="center"/>
      </w:pPr>
      <w:r>
        <w:rPr>
          <w:rFonts w:ascii="Times New Roman" w:hAnsi="Times New Roman"/>
          <w:b/>
          <w:i w:val="0"/>
          <w:sz w:val="24"/>
        </w:rPr>
        <w:t>V. Правовое обоснование</w:t>
      </w:r>
    </w:p>
    <w:p>
      <w:pPr>
        <w:spacing w:after="120" w:line="276" w:lineRule="auto"/>
        <w:ind w:firstLine="709"/>
        <w:jc w:val="both"/>
      </w:pPr>
      <w:r>
        <w:rPr>
          <w:rFonts w:ascii="Times New Roman" w:hAnsi="Times New Roman"/>
          <w:b/>
          <w:i w:val="0"/>
          <w:sz w:val="24"/>
        </w:rPr>
        <w:t>Взаимосвязанные сделки оспариваются как единая сделка.</w:t>
      </w:r>
      <w:r>
        <w:rPr>
          <w:rFonts w:ascii="Times New Roman" w:hAnsi="Times New Roman"/>
          <w:b w:val="0"/>
          <w:i w:val="0"/>
          <w:sz w:val="24"/>
        </w:rPr>
        <w:t xml:space="preserve"> Пункт 2 статьи 61.2 Закона о банкротстве прямо упоминает «несколько взаимосвязанных сделок» при определении стоимости переданного имущества. Пунктом 88 Постановления № 25 разъяснено: «Применяя правила о притворных сделках, следует учитывать, что для прикрытия сделки может быть совершена не только одна, но и несколько сделок. В таком случае прикрывающие сделки являются ничтожными, а к сделке, которую стороны действительно имели в виду, с учетом ее существа и содержания применяются относящиеся к ней правила (пункт 2 статьи 170 ГК РФ).» Верховный Суд Российской Федерации признаёт возможность оспаривания в деле о банкротстве совокупности сделок, направленных на перевод бизнеса на другое лицо, как единой сделки по выводу активов (определение от 23.03.2017 № 307-ЭС16-3765(4,5)).</w:t>
      </w:r>
    </w:p>
    <w:p>
      <w:pPr>
        <w:spacing w:after="120" w:line="276" w:lineRule="auto"/>
        <w:ind w:firstLine="709"/>
        <w:jc w:val="both"/>
      </w:pPr>
      <w:r>
        <w:rPr>
          <w:rFonts w:ascii="Times New Roman" w:hAnsi="Times New Roman"/>
          <w:b/>
          <w:i w:val="0"/>
          <w:sz w:val="24"/>
        </w:rPr>
        <w:t>Основание — пункт 2 статьи 61.2 Закона о банкротстве.</w:t>
      </w:r>
      <w:r>
        <w:rPr>
          <w:rFonts w:ascii="Times New Roman" w:hAnsi="Times New Roman"/>
          <w:b w:val="0"/>
          <w:i w:val="0"/>
          <w:sz w:val="24"/>
        </w:rPr>
        <w:t xml:space="preserve"> Пунктом 2 статьи 61.2 Закона о банкротстве установлено: «Сделка, совершенная должником в целях причинения вреда имущественным правам кредиторов, может быть признана арбитражным судом недействительной,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(подозрительная сделка). Предполагается, что другая сторона знала об этом,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Цель причинения вреда имущественным правам кредиторов предполагается, если на момент совершения сделки должник отвечал или в результате совершения сделки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 либо направлена на выплату (выдел) доли (пая) в имуществе должника учредителю (участнику) должника в связи с выходом из состава учредителей (участников) должника, либо совершена при наличии одного из следующих условий: стоимость переданного в результате совершения сделки или нескольких взаимосвязанных сделок имущества либо принятых обязательства и (или) обязанности составляет двадцать и более процентов балансовой стоимости активов должника, а для кредитной организации - десять и более процентов балансовой стоимости активов должника, определенной по данным бухгалтерской отчетности должника на последнюю отчетную дату перед совершением указанных сделки или сделок; должник изменил свое место жительства или место нахождения без уведомления кредиторов непосредственно перед совершением сделки или после ее совершения, либо скрыл свое имущество, либо уничтожил или исказил правоустанавливающие документы, документы бухгалтерской и (или) иной отчетности или учетные документы, ведение которых предусмотрено законодательством Российской Федерации, либо в результате ненадлежащего исполнения должником обязанностей по хранению и ведению бухгалтерской отчетности были уничтожены или искажены указанные документы; после совершения сделки по передаче имущества должник продолжал осуществлять пользование и (или) владение данным имуществом либо давать указания его собственнику об определении судьбы данного имущества.»</w:t>
      </w:r>
    </w:p>
    <w:p>
      <w:pPr>
        <w:spacing w:after="120" w:line="276" w:lineRule="auto"/>
        <w:ind w:firstLine="709"/>
        <w:jc w:val="both"/>
      </w:pPr>
      <w:r>
        <w:rPr>
          <w:rFonts w:ascii="Times New Roman" w:hAnsi="Times New Roman"/>
          <w:b w:val="0"/>
          <w:i w:val="0"/>
          <w:sz w:val="24"/>
        </w:rPr>
        <w:t>В пункте 5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(далее — Постановление № 63) разъяснено: «В силу этой нормы для признания сделки недействительной по данному основанию необходимо, чтобы оспаривающее сделку лицо доказало наличие совокупности всех следующих обстоятельств: а) сделка была совершена с целью причинить вред имущественным правам кредиторов; б) в результате совершения сделки был причинен вред имущественным правам кредиторов; в) другая сторона сделки знала или должна была знать об указанной цели должника к моменту совершения сделки (с учетом пункта 7 настоящего Постановления). В случае недоказанности хотя бы одного из этих обстоятельств суд отказывает в признании сделки недействительной по данному основанию.» Пунктом 6 Постановления № 63 разъяснено: «Согласно абзацам второму - пятому пункта 2 статьи 61.2 Закона о банкротстве цель причинения вреда имущественным правам кредиторов предполагается, если налицо одновременно два следующих условия: а) на момент совершения сделки должник отвечал признаку неплатежеспособности или недостаточности имущества; б) имеется хотя бы одно из других обстоятельств, предусмотренных абзацами вторым - пятым пункта 2 статьи 61.2 Закона о банкротстве. Установленные абзацами вторым - пятым пункта 2 статьи 61.2 Закона о банкротстве презумпции являются опровержимыми - они применяются, если иное не доказано другой стороной сделки.» Согласно пункту 7 Постановления № 63 «В силу абзаца первого пункта 2 статьи 61.2 Закона о банкротстве предполагается, что другая сторона сделки знала о совершении сделки с целью причинить вред имущественным правам кредиторов, если она признана заинтересованным лицом (статья 19 этого Закона)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 Данные презумпции являются опровержимыми - они применяются, если иное не доказано другой стороной сделки. При решении вопроса о том, должна ли была другая сторона сделки знать об указанных обстоятельствах, во внимание принимается то, насколько она могла, действуя разумно и проявляя требующуюся от нее по условиям оборота осмотрительность, установить наличие этих обстоятельств.»</w:t>
      </w:r>
    </w:p>
    <w:p>
      <w:pPr>
        <w:spacing w:after="120" w:line="276" w:lineRule="auto"/>
        <w:ind w:firstLine="709"/>
        <w:jc w:val="both"/>
      </w:pPr>
      <w:r>
        <w:rPr>
          <w:rFonts w:ascii="Times New Roman" w:hAnsi="Times New Roman"/>
          <w:b w:val="0"/>
          <w:i w:val="0"/>
          <w:sz w:val="24"/>
        </w:rPr>
        <w:t>Все элементы состава пункта 2 статьи 61.2 Закона о банкротстве доказаны: Сделки совершены в трёхлетний период при неплатёжеспособности, в пользу заинтересованного лица, [без встречного предоставления / по заниженной цене], причинили вред в виде утраты бизнеса; стоимость переданного превышает двадцать процентов балансовой стоимости активов Должника (презумпция абзаца третьего пункта 2 статьи 61.2); осведомлённость Общества презюмируется.</w:t>
      </w:r>
    </w:p>
    <w:p>
      <w:pPr>
        <w:spacing w:after="120" w:line="276" w:lineRule="auto"/>
        <w:ind w:firstLine="709"/>
        <w:jc w:val="both"/>
      </w:pPr>
      <w:r>
        <w:rPr>
          <w:rFonts w:ascii="Times New Roman" w:hAnsi="Times New Roman"/>
          <w:b/>
          <w:i w:val="0"/>
          <w:sz w:val="24"/>
        </w:rPr>
        <w:t>Злоупотребление правом (статьи 10, 168 ГК РФ).</w:t>
      </w:r>
      <w:r>
        <w:rPr>
          <w:rFonts w:ascii="Times New Roman" w:hAnsi="Times New Roman"/>
          <w:b w:val="0"/>
          <w:i w:val="0"/>
          <w:sz w:val="24"/>
        </w:rPr>
        <w:t xml:space="preserve"> Пунктом 1 статьи 10 Гражданского кодекса Российской Федерации (далее — ГК РФ) установлено: «Не допускаются осуществление гражданских прав исключительно с намерением причинить вред другому лицу, действия в обход закона с противоправной целью, а также иное заведомо недобросовестное осуществление гражданских прав (злоупотребление правом).» Согласно пункту 5 той же статьи «Добросовестность участников гражданских правоотношений и разумность их действий предполагаются.» Пунктом 2 статьи 168 ГК РФ предусмотрено: «Сделка, нарушающая требования закона или иного правового акта и при этом посягающая на публичные интересы либо права и охраняемые законом интересы третьих лиц, ничтожна, если из закона не следует, что такая сделка оспорима или должны применяться другие последствия нарушения, не связанные с недействительностью сделки.» В абзаце четвёртом пункта 4 Постановления № 63 разъяснено: «В то же время наличие в Законе о банкротстве специальных оснований оспаривания сделок, предусмотренных статьями 61.2 и 61.3, само по себе не препятствует суду квалифицировать сделку, при совершении которой допущено злоупотребление правом, как ничтожную (статьи 10 и 168 ГК РФ), в том числе при рассмотрении требования, основанного на такой сделке.» Пунктом 10 постановления Пленума Высшего Арбитражного Суда Российской Федерации от 30.04.2009 № 32 «О некоторых вопросах, связанных с оспариванием сделок по основаниям, предусмотренным Федеральным законом «О несостоятельности (банкротстве)» (далее — Постановление № 32) разъяснено: «Исходя из недопустимости злоупотребления гражданскими правами (пункт 1 статьи 10 ГК РФ) и необходимости защиты при банкротстве прав и законных интересов кредиторов по требованию арбитражного управляющего или кредитора может быть признана недействительной совершенная до или после возбуждения дела о банкротстве сделка должника, направленная на нарушение прав и законных интересов кредиторов, в частности направленная на уменьшение конкурсной массы сделка по отчуждению по заведомо заниженной цене имущества должника третьим лицам. Исковая давность по такому требованию в силу пункта 1 статьи 181 ГК РФ составляет три года и исчисляется со дня, когда оспаривающее сделку лицо узнало или должно было узнать о наличии обстоятельств, являющихся основанием для признания сделки недействительной, но не ранее введения в отношении должника первой процедуры банкротства.» Пунктом 7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(далее — Постановление № 25) разъяснено: «Если совершение сделки нарушает запрет, установленный пунктом 1 статьи 10 ГК РФ, в зависимости от обстоятельств дела такая сделка может быть признана судом недействительной (пункты 1 или 2 статьи 168 ГК РФ).» Согласно пункту 1 Постановления № 25 «Оценивая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По общему правилу пункта 5 статьи 10 ГК РФ добросовестность участников гражданских правоотношений и разумность их действий предполагаются, пока не доказано иное.»</w:t>
      </w:r>
    </w:p>
    <w:p>
      <w:pPr>
        <w:spacing w:after="120" w:line="276" w:lineRule="auto"/>
        <w:ind w:firstLine="709"/>
        <w:jc w:val="both"/>
      </w:pPr>
      <w:r>
        <w:rPr>
          <w:rFonts w:ascii="Times New Roman" w:hAnsi="Times New Roman"/>
          <w:b w:val="0"/>
          <w:i w:val="0"/>
          <w:sz w:val="24"/>
        </w:rPr>
        <w:t>Перевод бизнеса на «зеркальную» компанию с оставлением долгов на прежнем лице — хрестоматийный пример злоупотребления правом и действий в обход закона с противоправной целью (пункт 3 статьи 10 ГК РФ: «В случае, если злоупотребление правом выражается в совершении действий в обход закона с противоправной целью, последствия, предусмотренные пунктом 2 настоящей статьи, применяются, поскольку иные последствия таких действий не установлены настоящим Кодексом.»); Сделки ничтожны по статьям 10 и 168 ГК РФ.</w:t>
      </w:r>
    </w:p>
    <w:p>
      <w:pPr>
        <w:spacing w:after="120" w:line="276" w:lineRule="auto"/>
        <w:ind w:firstLine="709"/>
        <w:jc w:val="both"/>
      </w:pPr>
      <w:r>
        <w:rPr>
          <w:rFonts w:ascii="Times New Roman" w:hAnsi="Times New Roman"/>
          <w:b/>
          <w:i w:val="0"/>
          <w:sz w:val="24"/>
        </w:rPr>
        <w:t>Притворность сделки (пункт 2 статьи 170 ГК РФ).</w:t>
      </w:r>
      <w:r>
        <w:rPr>
          <w:rFonts w:ascii="Times New Roman" w:hAnsi="Times New Roman"/>
          <w:b w:val="0"/>
          <w:i w:val="0"/>
          <w:sz w:val="24"/>
        </w:rPr>
        <w:t xml:space="preserve"> Пунктом 2 статьи 170 ГК РФ установлено: «Притворная сделка, то есть сделка, которая совершена с целью прикрыть другую сделку, в том числе сделку на иных условиях, ничтожна. К сделке, которую стороны действительно имели в виду, с учетом существа и содержания сделки применяются относящиеся к ней правила.» Пунктом 87 Постановления № 25 разъяснено: «Согласно пункту 2 статьи 170 ГК РФ притворная сделка, то есть сделка, которая совершена с целью прикрыть другую сделку, в том числе сделку на иных условиях, с иным субъектным составом, ничтожна. В связи с притворностью недействительной может быть признана лишь та сделка, которая направлена на достижение других правовых последствий и прикрывает иную волю всех участников сделки. Намерения одного участника совершить притворную сделку для применения указанной нормы недостаточно. К сделке, которую стороны действительно имели в виду (прикрываемая сделка), с учетом ее существа и содержания применяются относящиеся к ней правила (пункт 2 статьи 170 ГК РФ). Прикрываемая сделка может быть также признана недействительной по основаниям, установленным ГК РФ или специальными законами.» Согласно пункту 88 Постановления № 25 «Применяя правила о притворных сделках, следует учитывать, что для прикрытия сделки может быть совершена не только одна, но и несколько сделок. В таком случае прикрывающие сделки являются ничтожными, а к сделке, которую стороны действительно имели в виду, с учетом ее существа и содержания применяются относящиеся к ней правила (пункт 2 статьи 170 ГК РФ).»</w:t>
      </w:r>
    </w:p>
    <w:p>
      <w:pPr>
        <w:spacing w:after="120" w:line="276" w:lineRule="auto"/>
        <w:ind w:firstLine="709"/>
        <w:jc w:val="both"/>
      </w:pPr>
      <w:r>
        <w:rPr>
          <w:rFonts w:ascii="Times New Roman" w:hAnsi="Times New Roman"/>
          <w:b w:val="0"/>
          <w:i w:val="0"/>
          <w:sz w:val="24"/>
        </w:rPr>
        <w:t>Совокупность Сделок прикрывает единую сделку по безвозмездной передаче предприятия Должника Обществу; к прикрываемой сделке применяются правила о недействительности по пункту 2 статьи 61.2 Закона о банкротстве.</w:t>
      </w:r>
    </w:p>
    <w:p>
      <w:pPr>
        <w:spacing w:after="120" w:line="276" w:lineRule="auto"/>
        <w:jc w:val="center"/>
      </w:pPr>
      <w:r>
        <w:rPr>
          <w:rFonts w:ascii="Times New Roman" w:hAnsi="Times New Roman"/>
          <w:b/>
          <w:i w:val="0"/>
          <w:sz w:val="24"/>
        </w:rPr>
        <w:t>VI. Срок исковой давности</w:t>
      </w:r>
    </w:p>
    <w:p>
      <w:pPr>
        <w:spacing w:after="120" w:line="276" w:lineRule="auto"/>
        <w:ind w:firstLine="709"/>
        <w:jc w:val="both"/>
      </w:pPr>
      <w:r>
        <w:rPr>
          <w:rFonts w:ascii="Times New Roman" w:hAnsi="Times New Roman"/>
          <w:b w:val="0"/>
          <w:i w:val="0"/>
          <w:sz w:val="24"/>
        </w:rPr>
        <w:t>Пунктом 2 статьи 181 ГК РФ установлено: «Срок исковой давности по требованию о признании оспоримой сделки недействительной и о применении последствий ее недействительности составляет один год. Течение срока исковой давности по указанному требованию начинается со дня прекращения насилия или угрозы, под влиянием которых была совершена сделка (пункт 1 статьи 179), либо со дня, когда истец узнал или должен был узнать об иных обстоятельствах, являющихся основанием для признания сделки недействительной.» Пунктом 32 Постановления № 63 разъяснено: «Заявление об оспаривании сделки на основании статей 61.2 или 61.3 Закона о банкротстве может быть подано в течение годичного срока исковой давности (пункт 2 статьи 181 ГК РФ).» В силу пункта 1 статьи 61.9 Закона о банкротстве срок исковой давности исчисляется с момента, когда арбитражный управляющий узнал или должен был узнать о наличии оснований для оспаривания сделки. Конкурсный управляющий утверждён «[дата]»; документация Должника получена от бывшего руководителя «[дата]» [вариант: не передана, сведения о сделке получены из [источник] «[дата]»], поэтому годичный срок на дату подачи заявления не истёк.</w:t>
      </w:r>
    </w:p>
    <w:p>
      <w:pPr>
        <w:spacing w:after="120" w:line="276" w:lineRule="auto"/>
        <w:ind w:firstLine="709"/>
        <w:jc w:val="both"/>
      </w:pPr>
      <w:r>
        <w:rPr>
          <w:rFonts w:ascii="Times New Roman" w:hAnsi="Times New Roman"/>
          <w:b w:val="0"/>
          <w:i w:val="0"/>
          <w:sz w:val="24"/>
        </w:rPr>
        <w:t>Для требования о признании ничтожной сделки недействительной применяется трёхлетний срок: пунктом 1 статьи 181 ГК РФ установлено: «Срок исковой давности по требованиям о применении последствий недействительности ничтожной сделки и о признании такой сделки недействительной (пункт 3 статьи 166) составляет три года. Течение срока исковой давности по указанным требованиям начинается со дня, когда началось исполнение ничтожной сделки, а в случае предъявления иска лицом, не являющимся стороной сделки, со дня, когда это лицо узнало или должно было узнать о начале ее исполнения. При этом срок исковой давности для лица, не являющегося стороной сделки, во всяком случае не может превышать десять лет со дня начала исполнения сделки.» По разъяснению пункта 10 Постановления № 32 этот срок исчисляется со дня, когда оспаривающее сделку лицо узнало или должно было узнать об основаниях недействительности, но не ранее введения в отношении Должника первой процедуры банкротства («[дата]»), поэтому и он не пропущен.</w:t>
      </w:r>
    </w:p>
    <w:p>
      <w:pPr>
        <w:spacing w:after="120" w:line="276" w:lineRule="auto"/>
        <w:jc w:val="center"/>
      </w:pPr>
      <w:r>
        <w:rPr>
          <w:rFonts w:ascii="Times New Roman" w:hAnsi="Times New Roman"/>
          <w:b/>
          <w:i w:val="0"/>
          <w:sz w:val="24"/>
        </w:rPr>
        <w:t>VII. Последствия недействительности сделки</w:t>
      </w:r>
    </w:p>
    <w:p>
      <w:pPr>
        <w:spacing w:after="120" w:line="276" w:lineRule="auto"/>
        <w:ind w:firstLine="709"/>
        <w:jc w:val="both"/>
      </w:pPr>
      <w:r>
        <w:rPr>
          <w:rFonts w:ascii="Times New Roman" w:hAnsi="Times New Roman"/>
          <w:b w:val="0"/>
          <w:i w:val="0"/>
          <w:sz w:val="24"/>
        </w:rPr>
        <w:t>Пунктом 1 статьи 61.6 Закона о банкротстве установлено: «Все, что было передано должником или иным лицом за счет должника или в счет исполнения обязательств перед должником, а также изъято у должника по сделке, признанной недействительной в соответствии с настоящей главой, подлежит возврату в конкурсную массу. В случае невозможности возврата имущества в конкурсную массу в натуре приобретатель должен возместить действительную стоимость этого имущества на момент его приобретения, а также убытки, вызванные последующим изменением стоимости имущества, в соответствии с положениями Гражданского кодекса Российской Федерации об обязательствах, возникающих вследствие неосновательного обогащения.» Пунктом 2 статьи 167 ГК РФ предусмотрено: «При недействительности сделки каждая из сторон обязана возвратить другой все полученное по сделке, а в случае невозможности возвратить полученное в натуре (в том числе тогда, когда полученное выражается в пользовании имуществом, выполненной работе или предоставленной услуге) возместить его стоимость, если иные последствия недействительности сделки не предусмотрены законом.» Пунктом 29 Постановления № 63 разъяснено: «Если сделка, признанная в порядке главы III.1 Закона о банкротстве недействительной, была исполнена должником и (или) другой стороной сделки, суд в резолютивной части определения о признании сделки недействительной также указывает на применение последствий недействительности сделки (пункт 2 статьи 167 ГК РФ, пункт 1 статьи 61.6 и абзац второй пункта 6 статьи 61.8 Закона о банкротстве) независимо от того, было ли указано на это в заявлении об оспаривании сделки.»</w:t>
      </w:r>
    </w:p>
    <w:p>
      <w:pPr>
        <w:spacing w:after="120" w:line="276" w:lineRule="auto"/>
        <w:ind w:firstLine="709"/>
        <w:jc w:val="both"/>
      </w:pPr>
      <w:r>
        <w:rPr>
          <w:rFonts w:ascii="Times New Roman" w:hAnsi="Times New Roman"/>
          <w:b w:val="0"/>
          <w:i w:val="0"/>
          <w:sz w:val="24"/>
        </w:rPr>
        <w:t>Последствия: возврат Обществом в конкурсную массу переданного имущества в натуре ([перечень]); взыскание действительной стоимости имущества и прав, возврат которых невозможен (клиентская база, перезаключённые договоры, персонал), — [сумма] руб., определённой как стоимость бизнеса на дату начала перевода за вычетом стоимости возвращаемого имущества; восстановление прав Должника по уступленным договорам [на товарный знак, домен]. Уплаченные Обществом суммы ([сумма] руб.) учитываются как его восстановленное требование к Должнику после возврата полученного (пункт 2 статьи 61.6 Закона о банкротстве).</w:t>
      </w:r>
    </w:p>
    <w:p>
      <w:pPr>
        <w:spacing w:after="120" w:line="276" w:lineRule="auto"/>
        <w:ind w:firstLine="709"/>
        <w:jc w:val="both"/>
      </w:pPr>
      <w:r>
        <w:rPr>
          <w:rFonts w:ascii="Times New Roman" w:hAnsi="Times New Roman"/>
          <w:b w:val="0"/>
          <w:i w:val="0"/>
          <w:sz w:val="24"/>
        </w:rPr>
        <w:t>Пунктом 2 статьи 61.6 Закона о банкротстве установлено: «Кредиторы и иные лица, которым передано имущество или перед которыми должник исполнял обязательства или обязанности по сделке, признанной недействительной на основании пункта 2 статьи 61.2 и пункта 3 статьи 61.3 настоящего Федерального закона, в случае возврата в конкурсную массу полученного по недействительной сделке имущества приобретают право требования к должнику, которое подлежит удовлетворению в порядке, предусмотренном законодательством Российской Федерации о несостоятельности (банкротстве), после удовлетворения требований кредиторов третьей очереди, включенных в реестр требований кредиторов.» Пунктом 26 Постановления № 63 разъяснено: «В случае, когда упомянутая в предыдущем пункте сделка была признана недействительной на основании пункта 2 статьи 61.2 или пункта 3 статьи 61.3 Закона о банкротстве, восстановленное требование подлежит включению в реестр требований кредиторов, но удовлетворяется за счет имущества должника, оставшегося после удовлетворения требований кредиторов третьей очереди, включенных в реестр, то есть в очередности, предусмотренной пунктом 4 статьи 142 Закона о банкротстве (пункт 2 статьи 61.6); такое требование может быть предъявлено к должнику в порядке, предусмотренном статьей 100 Закона о банкротстве, в любое время в ходе внешнего управления или конкурсного производства. Указанное требование не предоставляет права голоса на собрании кредиторов.»</w:t>
      </w:r>
    </w:p>
    <w:p>
      <w:pPr>
        <w:spacing w:after="120" w:line="276" w:lineRule="auto"/>
        <w:jc w:val="center"/>
      </w:pPr>
      <w:r>
        <w:rPr>
          <w:rFonts w:ascii="Times New Roman" w:hAnsi="Times New Roman"/>
          <w:b/>
          <w:i w:val="0"/>
          <w:sz w:val="24"/>
        </w:rPr>
        <w:t>VIII. Обеспечительные меры</w:t>
      </w:r>
    </w:p>
    <w:p>
      <w:pPr>
        <w:spacing w:after="120" w:line="276" w:lineRule="auto"/>
        <w:ind w:firstLine="709"/>
        <w:jc w:val="both"/>
      </w:pPr>
      <w:r>
        <w:rPr>
          <w:rFonts w:ascii="Times New Roman" w:hAnsi="Times New Roman"/>
          <w:b w:val="0"/>
          <w:i w:val="0"/>
          <w:sz w:val="24"/>
        </w:rPr>
        <w:t>Частью 2 статьи 90 Арбитражного процессуального кодекса Российской Федерации (далее — АПК РФ) установлено: «Обеспечительные меры допускаются на любой стадии арбитражного процесса, если непринятие этих мер может затруднить или сделать невозможным исполнение судебного акта, в том числе если исполнение судебного акта предполагается за пределами Российской Федерации, а также в целях предотвращения причинения значительного ущерба заявителю.» Согласно пункту 2 части 1 статьи 91 АПК РФ обеспечительной мерой может быть «запрещение ответчику и другим лицам совершать определенные действия, касающиеся предмета спора». Частью 2 той же статьи предусмотрено: «Обеспечительные меры должны быть соразмерны заявленному требованию.»</w:t>
      </w:r>
    </w:p>
    <w:p>
      <w:pPr>
        <w:spacing w:after="120" w:line="276" w:lineRule="auto"/>
        <w:ind w:firstLine="709"/>
        <w:jc w:val="both"/>
      </w:pPr>
      <w:r>
        <w:rPr>
          <w:rFonts w:ascii="Times New Roman" w:hAnsi="Times New Roman"/>
          <w:b w:val="0"/>
          <w:i w:val="0"/>
          <w:sz w:val="24"/>
        </w:rPr>
        <w:t>Пунктом 14 постановления Пленума Верховного Суда Российской Федерации от 01.06.2023 № 15 «О некоторых вопросах принятия судами мер по обеспечению иска, обеспечительных мер и мер предварительной защиты» (далее — Постановление № 15) разъяснено: «Суд принимает обеспечительные меры при установлении хотя бы одного из оснований для их принятия (часть 1 статьи 139 ГПК РФ, часть 2 статьи 90 АПК РФ, часть 1 статьи 85 КАС РФ).» Согласно пункту 15 Постановления № 15 «Судам следует учитывать, что обеспечительные меры являются ускоренным и предварительным средством защиты, следовательно, для их принятия не требуется представления доказательств в объеме, необходимом для обоснования требований и возражений стороны по существу спора. Для принятия обеспечительных мер заявителю достаточно обосновать наличие возможности наступления последствий, предусмотренных частью 2 статьи 139 ГПК РФ, частью 2 статьи 90 АПК РФ, частью 1 статьи 85 КАС РФ.» Пунктом 16 Постановления № 15 разъяснено: «Судом могут быть учтены доводы заявителя, обусловленные в том числе возможностью принятия ответчиком, административным ответчиком (далее также - ответчик) мер по отчуждению имущества после предъявления иска; совершения им действий, направленных на сокрытие имущества, уменьшение его ценности; наличием возбужденных в отношении ответчика исполнительных производств; а также тем, что непринятие обеспечительных мер приведет к нарушению прав, свобод, законных интересов истца, административного истца, неопределенного круга лиц, в защиту прав, свобод и законных интересов которых подано соответствующее исковое заявление, невозможности или затруднительности защиты прав, свобод и законных интересов стороны.» В силу пункта 17 Постановления № 15 «Заявление о принятии обеспечительной меры может быть удовлетворено только при наличии связи испрашиваемой меры с предметом заявленного требования. Например, обеспечительная мера в виде запрета совершать сделки и регистрационные действия, направленные на отчуждение акций, принадлежащих контролирующему должника лицу, связана с требованием о взыскании убытков с такого лица; обеспечительная мера в виде запрета на производство строительных работ связана с требованием о сносе самовольной постройки или ее приведении в соответствие с установленными требованиями.»</w:t>
      </w:r>
    </w:p>
    <w:p>
      <w:pPr>
        <w:spacing w:after="120" w:line="276" w:lineRule="auto"/>
        <w:ind w:firstLine="709"/>
        <w:jc w:val="both"/>
      </w:pPr>
      <w:r>
        <w:rPr>
          <w:rFonts w:ascii="Times New Roman" w:hAnsi="Times New Roman"/>
          <w:b w:val="0"/>
          <w:i w:val="0"/>
          <w:sz w:val="24"/>
        </w:rPr>
        <w:t>Непринятие мер может сделать невозможным исполнение определения о возврате имущества в конкурсную массу: Общество полностью подконтрольно лицам, выведшим активы, и может повторить ту же схему — перевести бизнес дальше либо ликвидироваться. Испрашиваемая мера в виде наложения ареста на имущество и денежные средства Общества в пределах [сумма] руб., запрета Обществу отчуждать имущество, полученное от Должника, и запрета регистрирующему органу вносить записи о реорганизации и ликвидации Общества непосредственно связана с предметом требования, соразмерна ему и не лишает ответчика возможности пользоваться имуществом. Ходатайство об обеспечительных мерах в силу части 8 статьи 93 АПК РФ подлежит рассмотрению не позднее следующего дня после поступления заявления в суд.</w:t>
      </w:r>
    </w:p>
    <w:p>
      <w:pPr>
        <w:spacing w:after="120" w:line="276" w:lineRule="auto"/>
        <w:jc w:val="center"/>
      </w:pPr>
      <w:r>
        <w:rPr>
          <w:rFonts w:ascii="Times New Roman" w:hAnsi="Times New Roman"/>
          <w:b/>
          <w:i w:val="0"/>
          <w:sz w:val="24"/>
        </w:rPr>
        <w:t>IX. Государственная пошлина</w:t>
      </w:r>
    </w:p>
    <w:p>
      <w:pPr>
        <w:spacing w:after="120" w:line="276" w:lineRule="auto"/>
        <w:ind w:firstLine="709"/>
        <w:jc w:val="both"/>
      </w:pPr>
      <w:r>
        <w:rPr>
          <w:rFonts w:ascii="Times New Roman" w:hAnsi="Times New Roman"/>
          <w:b w:val="0"/>
          <w:i w:val="0"/>
          <w:sz w:val="24"/>
        </w:rPr>
        <w:t>Подпунктом 2 пункта 1 статьи 333.21 Налогового кодекса Российской Федерации (далее — НК РФ) за подачу искового заявления по спорам о признании сделок недействительными установлена пошлина для организаций — 50 000 руб. Подпунктом 9 пункта 1 той же статьи предусмотрено: «по заявлениям, требованиям и иным обособленным спорам, подлежащим рассмотрению в деле о банкротстве, - в размере 50 процентов государственной пошлины, определяемой в соответствии с настоящим пунктом, исходя из существа заявленных требований». Следовательно, за требование о признании сделки недействительной и применении последствий её недействительности подлежит уплате 25 000 руб. За ходатайство об обеспечительных мерах пошлина составляет 15 000 руб. (подп. 17 п. 1 ст. 333.21 НК РФ — 30 000 руб. — с учётом подп. 9 п. 1 той же статьи).</w:t>
      </w:r>
    </w:p>
    <w:p>
      <w:pPr>
        <w:spacing w:after="120" w:line="276" w:lineRule="auto"/>
        <w:ind w:firstLine="709"/>
        <w:jc w:val="both"/>
      </w:pPr>
      <w:r>
        <w:rPr>
          <w:rFonts w:ascii="Times New Roman" w:hAnsi="Times New Roman"/>
          <w:b/>
          <w:i w:val="0"/>
          <w:sz w:val="24"/>
        </w:rPr>
        <w:t>Ходатайство об отсрочке уплаты государственной пошлины.</w:t>
      </w:r>
      <w:r>
        <w:rPr>
          <w:rFonts w:ascii="Times New Roman" w:hAnsi="Times New Roman"/>
          <w:b w:val="0"/>
          <w:i w:val="0"/>
          <w:sz w:val="24"/>
        </w:rPr>
        <w:t xml:space="preserve"> Пунктом 1 статьи 333.41 НК РФ установлено: «Отсрочка или рассрочка уплаты государственной пошлины предоставляется по ходатайству заинтересованного лица в пределах срока, установленного пунктом 1 статьи 64 настоящего Кодекса.» Согласно пункту 2 статьи 333.22 НК РФ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Пунктом 19 постановления Пленума Верховного Суда Российской Федерации от 13.10.2015 № 45 разъяснено: «Судебные расходы по делу о банкротстве должника, в том числе расходы на уплату государственной пошлины, которая была отсрочена или рассрочена, на опубликование сведений в ходе процедур, применяемых в деле о банкротстве должника, и расходы на выплату вознаграждения финансовому управляющему относятся на имущество должника и возмещаются за счет этого имущества вне очереди (пункт 1 статьи 59, пункт 4 статьи 213.7 и пункт 4 статьи 213.9 Закона о банкротстве).» Денежные средства в конкурсной массе Должника на дату подачи заявления отсутствуют [выписки по счетам прилагаются], доход Должник не получает. Заявитель просит предоставить отсрочку уплаты государственной пошлины до рассмотрения заявления по существу [вариант: пошлина уплачена за счёт конкурсной массы / за счёт собственных средств управляющего с последующим возмещением за счёт имущества Должника].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10, 132, 166, 167, 168, 170 Гражданского кодекса Российской Федерации, статьями 2, 19, 61.1, 61.2, 61.6, 61.8, 61.9, 129 Федерального закона «О несостоятельности (банкротстве)», статьями 65, 90, 91, 92, 125, 126, 130, 223 Арбитражного процессуального кодекса Российской Федерации, конкурсный управляющий</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Предоставить отсрочку уплаты государственной пошлины до рассмотрения настоящего заявления по существу.</w:t>
      </w:r>
    </w:p>
    <w:p>
      <w:pPr>
        <w:spacing w:after="120" w:line="276" w:lineRule="auto"/>
        <w:ind w:firstLine="709"/>
        <w:jc w:val="both"/>
      </w:pPr>
      <w:r>
        <w:rPr>
          <w:rFonts w:ascii="Times New Roman" w:hAnsi="Times New Roman"/>
          <w:b w:val="0"/>
          <w:i w:val="0"/>
          <w:sz w:val="24"/>
        </w:rPr>
        <w:t>2. Принять обеспечительные меры: наложить арест на денежные средства и имущество ООО «[наименование]» в пределах [сумма] руб.; запретить Обществу отчуждать [перечень имущества]; запретить [регистрирующий орган] вносить в ЕГРЮЛ записи о реорганизации и ликвидации Общества до вступления в законную силу судебного акта по настоящему спору.</w:t>
      </w:r>
    </w:p>
    <w:p>
      <w:pPr>
        <w:spacing w:after="120" w:line="276" w:lineRule="auto"/>
        <w:ind w:firstLine="709"/>
        <w:jc w:val="both"/>
      </w:pPr>
      <w:r>
        <w:rPr>
          <w:rFonts w:ascii="Times New Roman" w:hAnsi="Times New Roman"/>
          <w:b w:val="0"/>
          <w:i w:val="0"/>
          <w:sz w:val="24"/>
        </w:rPr>
        <w:t>3. Признать недействительной единую сделку по переводу бизнеса [наименование Должника] на ООО «[наименование]», оформленную [договором купли-продажи от «[дата]» № [__], соглашениями о переводе прав по договорам от «[дата]», договором уступки от «[дата]», …]; признать указанные сделки недействительными.</w:t>
      </w:r>
    </w:p>
    <w:p>
      <w:pPr>
        <w:spacing w:after="120" w:line="276" w:lineRule="auto"/>
        <w:ind w:firstLine="709"/>
        <w:jc w:val="both"/>
      </w:pPr>
      <w:r>
        <w:rPr>
          <w:rFonts w:ascii="Times New Roman" w:hAnsi="Times New Roman"/>
          <w:b w:val="0"/>
          <w:i w:val="0"/>
          <w:sz w:val="24"/>
        </w:rPr>
        <w:t>4. Применить последствия недействительности сделок: обязать ООО «[наименование]» возвратить в конкурсную массу [перечень имущества]; восстановить права [наименование Должника] по [договорам / товарному знаку / домену]; взыскать с ООО «[наименование]» в конкурсную массу [сумма] руб. действительной стоимости имущества и прав, возврат которых невозможен.</w:t>
      </w:r>
    </w:p>
    <w:p>
      <w:pPr>
        <w:spacing w:after="120" w:line="276" w:lineRule="auto"/>
        <w:ind w:firstLine="709"/>
        <w:jc w:val="both"/>
      </w:pPr>
      <w:r>
        <w:rPr>
          <w:rFonts w:ascii="Times New Roman" w:hAnsi="Times New Roman"/>
          <w:b w:val="0"/>
          <w:i w:val="0"/>
          <w:sz w:val="24"/>
        </w:rPr>
        <w:t>5. Взыскать с ответчика в конкурсную массу Должника расходы по уплате государственной пошлины [в размере [сумма] рублей] [либо взыскать государственную пошлину с ответчика в доход федерального бюджета, если уплата была отсрочена].</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судебного акта о введении процедуры [реализации имущества / реструктуризации долгов / конкурсного производства] и об утверждении арбитражного управляющего.</w:t>
      </w:r>
    </w:p>
    <w:p>
      <w:pPr>
        <w:spacing w:after="40" w:line="276" w:lineRule="auto"/>
        <w:jc w:val="left"/>
      </w:pPr>
      <w:r>
        <w:rPr>
          <w:rFonts w:ascii="Times New Roman" w:hAnsi="Times New Roman"/>
          <w:b w:val="0"/>
          <w:i w:val="0"/>
          <w:sz w:val="24"/>
        </w:rPr>
        <w:t>2. Копия определения о принятии заявления о признании Должника банкротом к производству (для исчисления периода подозрительности).</w:t>
      </w:r>
    </w:p>
    <w:p>
      <w:pPr>
        <w:spacing w:after="40" w:line="276" w:lineRule="auto"/>
        <w:jc w:val="left"/>
      </w:pPr>
      <w:r>
        <w:rPr>
          <w:rFonts w:ascii="Times New Roman" w:hAnsi="Times New Roman"/>
          <w:b w:val="0"/>
          <w:i w:val="0"/>
          <w:sz w:val="24"/>
        </w:rPr>
        <w:t>3. Копии всех оспариваемых договоров и соглашений; выписки из ЕГРЮЛ в отношении Должника и Общества (участники, руководители, адреса, виды деятельности).</w:t>
      </w:r>
    </w:p>
    <w:p>
      <w:pPr>
        <w:spacing w:after="40" w:line="276" w:lineRule="auto"/>
        <w:jc w:val="left"/>
      </w:pPr>
      <w:r>
        <w:rPr>
          <w:rFonts w:ascii="Times New Roman" w:hAnsi="Times New Roman"/>
          <w:b w:val="0"/>
          <w:i w:val="0"/>
          <w:sz w:val="24"/>
        </w:rPr>
        <w:t>4. Бухгалтерская отчётность Должника и Общества за периоды до и после Сделок (динамика выручки, активов); сведения СФР о переводе работников.</w:t>
      </w:r>
    </w:p>
    <w:p>
      <w:pPr>
        <w:spacing w:after="40" w:line="276" w:lineRule="auto"/>
        <w:jc w:val="left"/>
      </w:pPr>
      <w:r>
        <w:rPr>
          <w:rFonts w:ascii="Times New Roman" w:hAnsi="Times New Roman"/>
          <w:b w:val="0"/>
          <w:i w:val="0"/>
          <w:sz w:val="24"/>
        </w:rPr>
        <w:t>5. Отчёт об оценке стоимости бизнеса (имущественного комплекса) Должника; доказательства перезаключения договоров контрагентами (письма, ответы на запросы).</w:t>
      </w:r>
    </w:p>
    <w:p>
      <w:pPr>
        <w:spacing w:after="40" w:line="276" w:lineRule="auto"/>
        <w:jc w:val="left"/>
      </w:pPr>
      <w:r>
        <w:rPr>
          <w:rFonts w:ascii="Times New Roman" w:hAnsi="Times New Roman"/>
          <w:b w:val="0"/>
          <w:i w:val="0"/>
          <w:sz w:val="24"/>
        </w:rPr>
        <w:t>6. Доказательства связи участников и руководителей Общества с руководством Должника.</w:t>
      </w:r>
    </w:p>
    <w:p>
      <w:pPr>
        <w:spacing w:after="40" w:line="276" w:lineRule="auto"/>
        <w:jc w:val="left"/>
      </w:pPr>
      <w:r>
        <w:rPr>
          <w:rFonts w:ascii="Times New Roman" w:hAnsi="Times New Roman"/>
          <w:b w:val="0"/>
          <w:i w:val="0"/>
          <w:sz w:val="24"/>
        </w:rPr>
        <w:t>7. Доказательства, обосновывающие ходатайство об обеспечительных мерах: [сведения о попытках отчуждения, объявления о продаже, выписки о переходе прав].</w:t>
      </w:r>
    </w:p>
    <w:p>
      <w:pPr>
        <w:spacing w:after="40" w:line="276" w:lineRule="auto"/>
        <w:jc w:val="left"/>
      </w:pPr>
      <w:r>
        <w:rPr>
          <w:rFonts w:ascii="Times New Roman" w:hAnsi="Times New Roman"/>
          <w:b w:val="0"/>
          <w:i w:val="0"/>
          <w:sz w:val="24"/>
        </w:rPr>
        <w:t>8. Реестр требований кредиторов на дату подачи заявления; копии судебных актов о включении требований в реестр.</w:t>
      </w:r>
    </w:p>
    <w:p>
      <w:pPr>
        <w:spacing w:after="40" w:line="276" w:lineRule="auto"/>
        <w:jc w:val="left"/>
      </w:pPr>
      <w:r>
        <w:rPr>
          <w:rFonts w:ascii="Times New Roman" w:hAnsi="Times New Roman"/>
          <w:b w:val="0"/>
          <w:i w:val="0"/>
          <w:sz w:val="24"/>
        </w:rPr>
        <w:t>9. Документы о неплатёжеспособности Должника на дату сделки: [кредитные договоры, судебные акты о взыскании, требования об уплате, финансовый анализ, выписки по счетам].</w:t>
      </w:r>
    </w:p>
    <w:p>
      <w:pPr>
        <w:spacing w:after="40" w:line="276" w:lineRule="auto"/>
        <w:jc w:val="left"/>
      </w:pPr>
      <w:r>
        <w:rPr>
          <w:rFonts w:ascii="Times New Roman" w:hAnsi="Times New Roman"/>
          <w:b w:val="0"/>
          <w:i w:val="0"/>
          <w:sz w:val="24"/>
        </w:rPr>
        <w:t>10. Выписки из ЕГРЮЛ (ЕГРИП) в отношении [ответчика-организации / Должника-организации].</w:t>
      </w:r>
    </w:p>
    <w:p>
      <w:pPr>
        <w:spacing w:after="40" w:line="276" w:lineRule="auto"/>
        <w:jc w:val="left"/>
      </w:pPr>
      <w:r>
        <w:rPr>
          <w:rFonts w:ascii="Times New Roman" w:hAnsi="Times New Roman"/>
          <w:b w:val="0"/>
          <w:i w:val="0"/>
          <w:sz w:val="24"/>
        </w:rPr>
        <w:t>11. Документ об уплате государственной пошлины [либо документы об отсутствии средств в конкурсной массе — к ходатайству об отсрочке].</w:t>
      </w:r>
    </w:p>
    <w:p>
      <w:pPr>
        <w:spacing w:after="40" w:line="276" w:lineRule="auto"/>
        <w:jc w:val="left"/>
      </w:pPr>
      <w:r>
        <w:rPr>
          <w:rFonts w:ascii="Times New Roman" w:hAnsi="Times New Roman"/>
          <w:b w:val="0"/>
          <w:i w:val="0"/>
          <w:sz w:val="24"/>
        </w:rPr>
        <w:t>12. Доказательства направления копии заявления с приложениями заказным письмом с уведомлением о вручении ответчику и Должнику (пункт 3 статьи 61.8 Закона о банкротстве) [и иным лицам, участвующим в деле].</w:t>
      </w:r>
    </w:p>
    <w:p>
      <w:pPr>
        <w:spacing w:after="40" w:line="276" w:lineRule="auto"/>
        <w:jc w:val="left"/>
      </w:pPr>
      <w:r>
        <w:rPr>
          <w:rFonts w:ascii="Times New Roman" w:hAnsi="Times New Roman"/>
          <w:b w:val="0"/>
          <w:i w:val="0"/>
          <w:sz w:val="24"/>
        </w:rPr>
        <w:t>13. Доверенность представителя и копия диплома о высшем юридическом образовании [если заявление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статус подписанта]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Ключ к успеху — показать единую цель и единого бенефициара: таблица «было у должника — стало у общества» (адрес, персонал, контрагенты, выручка, активы). Запросите в СФР сведения о переходе работников, у контрагентов — переписку о смене поставщика.</w:t>
      </w:r>
    </w:p>
    <w:p>
      <w:pPr>
        <w:spacing w:after="40" w:line="276" w:lineRule="auto"/>
        <w:jc w:val="both"/>
      </w:pPr>
      <w:r>
        <w:rPr>
          <w:rFonts w:ascii="Times New Roman" w:hAnsi="Times New Roman"/>
          <w:b w:val="0"/>
          <w:i/>
          <w:sz w:val="24"/>
        </w:rPr>
        <w:t>— Стоимость бизнеса как имущественного комплекса доказывается оценкой; без неё суд ограничится возвратом отдельных активов.</w:t>
      </w:r>
    </w:p>
    <w:p>
      <w:pPr>
        <w:spacing w:after="40" w:line="276" w:lineRule="auto"/>
        <w:jc w:val="both"/>
      </w:pPr>
      <w:r>
        <w:rPr>
          <w:rFonts w:ascii="Times New Roman" w:hAnsi="Times New Roman"/>
          <w:b w:val="0"/>
          <w:i/>
          <w:sz w:val="24"/>
        </w:rPr>
        <w:t>— Параллельно рассмотрите субсидиарную ответственность контролирующих лиц (ст. 61.11) и взыскание убытков: перевод бизнеса — типичное основание.</w:t>
      </w:r>
    </w:p>
    <w:p>
      <w:pPr>
        <w:spacing w:after="40" w:line="276" w:lineRule="auto"/>
        <w:jc w:val="both"/>
      </w:pPr>
      <w:r>
        <w:rPr>
          <w:rFonts w:ascii="Times New Roman" w:hAnsi="Times New Roman"/>
          <w:b w:val="0"/>
          <w:i/>
          <w:sz w:val="24"/>
        </w:rPr>
        <w:t>— Периоды подозрительности (один год — п. 1 ст. 61.2; три года — п. 2 ст. 61.2; один и шесть месяцев — ст. 61.3 Закона о банкротстве) считаются назад от даты принятия судом заявления о признании должника банкротом (определение о принятии заявления), а не от даты введения процедуры. Сделки после принятия заявления также оспариваются по этим нормам.</w:t>
      </w:r>
    </w:p>
    <w:p>
      <w:pPr>
        <w:spacing w:after="40" w:line="276" w:lineRule="auto"/>
        <w:jc w:val="both"/>
      </w:pPr>
      <w:r>
        <w:rPr>
          <w:rFonts w:ascii="Times New Roman" w:hAnsi="Times New Roman"/>
          <w:b w:val="0"/>
          <w:i/>
          <w:sz w:val="24"/>
        </w:rPr>
        <w:t>— Обеспечительные меры удобнее заявлять внутри заявления отдельным разделом (ч. 8 ст. 93 АПК РФ — рассматриваются не позднее следующего дня). Формулируйте меру предельно конкретно: орган, действия, объект с кадастровым номером / VIN.</w:t>
      </w:r>
    </w:p>
    <w:p>
      <w:pPr>
        <w:spacing w:after="40" w:line="276" w:lineRule="auto"/>
        <w:jc w:val="both"/>
      </w:pPr>
      <w:r>
        <w:rPr>
          <w:rFonts w:ascii="Times New Roman" w:hAnsi="Times New Roman"/>
          <w:b w:val="0"/>
          <w:i/>
          <w:sz w:val="24"/>
        </w:rPr>
        <w:t>— Госпошлина: с 09.09.2024 подп. 4 п. 1 ст. 333.37 НК РФ освобождает граждан-должников от пошлины по обособленным спорам, связанным с формированием конкурсной массы; финансовый управляющий, оспаривающий сделку от имени гражданина, вправе ссылаться на эту льготу (практика формируется). Иначе — 7 500 руб. (должник-гражданин) или 25 000 руб. (должник-организация) за требование о признании сделки недействительной (подп. 2 и 9 п. 1 ст. 333.21 НК РФ); за ходатайство об обеспечительных мерах — отдельно 15 000 руб. (подп. 17 и 9 п. 1 ст. 333.21 НК РФ). При отсутствии средств в конкурсной массе заявите отсрочку (ст. 333.41, п. 2 ст. 333.22 НК РФ). Практика расчёта пошлины по обособленным спорам после 09.09.2024 продолжает формироваться — сверьте с актуальными разъяснениями.</w:t>
      </w:r>
    </w:p>
    <w:p>
      <w:pPr>
        <w:spacing w:after="40" w:line="276" w:lineRule="auto"/>
        <w:jc w:val="both"/>
      </w:pPr>
      <w:r>
        <w:rPr>
          <w:rFonts w:ascii="Times New Roman" w:hAnsi="Times New Roman"/>
          <w:b w:val="0"/>
          <w:i/>
          <w:sz w:val="24"/>
        </w:rPr>
        <w:t>— Копию заявления с приложениями направьте ответчику и должнику заказным письмом с уведомлением о вручении (п. 3 ст. 61.8 Закона о банкротстве); сведения о подаче заявления об оспаривании сделки включите в ЕФРСБ в течение трёх рабочих дней (п. 4 ст. 61.1, абз. 18 п. 2 ст. 213.7 Закона о банкротстве).</w:t>
      </w:r>
    </w:p>
    <w:p>
      <w:pPr>
        <w:spacing w:after="40" w:line="276" w:lineRule="auto"/>
        <w:jc w:val="both"/>
      </w:pPr>
      <w:r>
        <w:rPr>
          <w:rFonts w:ascii="Times New Roman" w:hAnsi="Times New Roman"/>
          <w:b w:val="0"/>
          <w:i/>
          <w:sz w:val="24"/>
        </w:rPr>
        <w:t>— Реквизиты определений Верховного Суда РФ приведены как ориентир по правовым позициям; перед подачей проверьте их по картотеке арбитражных дел и при необходимости дополните свежей практикой вашего округа.</w:t>
      </w:r>
    </w:p>
    <w:p>
      <w:pPr>
        <w:spacing w:after="40" w:line="276" w:lineRule="auto"/>
        <w:jc w:val="both"/>
      </w:pPr>
      <w:r>
        <w:rPr>
          <w:rFonts w:ascii="Times New Roman" w:hAnsi="Times New Roman"/>
          <w:b w:val="0"/>
          <w:i/>
          <w:sz w:val="24"/>
        </w:rPr>
        <w:t>— Цитаты закона и постановлений Пленумов приведены дословно в действующей редакции (сверено с КонсультантПлюс 17.10.2026).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