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конкурсный управляющий должника</w:t>
      </w:r>
      <w:r>
        <w:rPr>
          <w:rFonts w:ascii="Times New Roman" w:hAnsi="Times New Roman"/>
          <w:b w:val="0"/>
          <w:i w:val="0"/>
          <w:sz w:val="24"/>
        </w:rPr>
        <w:br/>
        <w:t>[Ф. И. О. конкурсного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[полное наименование организации-ответчика]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[полное наименование должника]</w:t>
      </w:r>
      <w:r>
        <w:rPr>
          <w:rFonts w:ascii="Times New Roman" w:hAnsi="Times New Roman"/>
          <w:b w:val="0"/>
          <w:i w:val="0"/>
          <w:sz w:val="24"/>
        </w:rPr>
        <w:br/>
        <w:t>ОГРН [__________], ИНН [__________]</w:t>
      </w:r>
      <w:r>
        <w:rPr>
          <w:rFonts w:ascii="Times New Roman" w:hAnsi="Times New Roman"/>
          <w:b w:val="0"/>
          <w:i w:val="0"/>
          <w:sz w:val="24"/>
        </w:rPr>
        <w:br/>
        <w:t>адрес: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25 000 руб. — за требование о признании сделки недействительной (подп. 2 п. 1 ст. 333.21 НК РФ: 50 000 руб. для организаций, с учётом подп. 9 п. 1 той же статьи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недействительными сделок по перечислению денежных средств отдельному кредитору и применении последствий недействительности сделок</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[полное наименование] (далее — Должник) признано несостоятельным (банкротом), открыто конкурсное производство, конкурсным управляющим утверждён [Ф. И. О.] (далее — Конкурсный управляющий). [Определением от «[дата]» в отношении Должника была введена процедура наблюдения.] Заявление о признании Должника банкротом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61.9 Федерального закона от 26.10.2002 № 127-ФЗ «О несостоятельности (банкротстве)» (далее — Закон о банкротстве) установлено: «Заявление об оспаривании сделки должника может быть подано в арбитражный суд внешним управляющим или конкурсным управляющим от имени должника по своей инициативе либо по решению собрания кредиторов или комитета кредиторов, при этом срок исковой давности исчисляется с момента, когда арбитражный управляющий узнал или должен был узнать о наличии оснований для оспаривания сделки, предусмотренных настоящим Федеральным законом. Голоса кредитора, в отношении которого или в отношении аффилированных лиц которого совершена сделка, не учитываются при определении кворума и принятии решения собранием (комитетом) кредиторов по вопросу о подаче заявления об оспаривании этой сделки. Если заявление об оспаривании сделки во исполнение решения собрания (комитета) кредиторов не будет подано арбитражным управляющим в течение установленного данным решением срока, такое заявление может быть подано представителем собрания (комитета) кредиторов или иным лицом, уполномоченным решением собрания (комитета) кредиторов.» Абзацем пятым пункта 3 статьи 129 Закона о банкротстве конкурсному управляющему предоставлено право «подавать в арбитражный суд от имени должника заявления о признании недействительными сделок и решений, а также о применении последствий недействительности ничтожных сделок, заключенных или исполненных должником, иски о взыскании убытков, причиненных действиями (бездействием) руководителя должника, лиц, входящих в совет директоров (наблюдательный совет), коллегиальный исполнительный орган или иной орган управления должника, собственника имущества должника, лицами, действовавшими от имени должника в соответствии с доверенностью, иными лицами, действовавшими в соответствии с учредительными документами должника, предъявлять иски об истребовании имущества должника у третьих лиц, о расторжении договоров, заключенных должником, и совершать другие действия, предусмотренные федеральными законами и иными нормативными правовыми актами Российской Федерации и направленные на возврат имущества должника».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 Согласно пункту 1 статьи 61.1 Закона о банкротстве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настоящем Федеральном законе.»</w:t>
      </w:r>
    </w:p>
    <w:p>
      <w:pPr>
        <w:spacing w:after="120" w:line="276" w:lineRule="auto"/>
        <w:jc w:val="center"/>
      </w:pPr>
      <w:r>
        <w:rPr>
          <w:rFonts w:ascii="Times New Roman" w:hAnsi="Times New Roman"/>
          <w:b/>
          <w:i w:val="0"/>
          <w:sz w:val="24"/>
        </w:rPr>
        <w:t>I. Обстоятельства совершения сделок</w:t>
      </w:r>
    </w:p>
    <w:p>
      <w:pPr>
        <w:spacing w:after="120" w:line="276" w:lineRule="auto"/>
        <w:ind w:firstLine="709"/>
        <w:jc w:val="both"/>
      </w:pPr>
      <w:r>
        <w:rPr>
          <w:rFonts w:ascii="Times New Roman" w:hAnsi="Times New Roman"/>
          <w:b w:val="0"/>
          <w:i w:val="0"/>
          <w:sz w:val="24"/>
        </w:rPr>
        <w:t>Между Должником и [наименование ответчика] (далее — Кредитор) действовал договор [поставки / подряда / аренды / займа] от «[дата]» № [__], по которому у Должника на «[дата]» имелась задолженность [сумма] руб. со сроком оплаты «[дата]». В период с «[дата]» по «[дата]» Должник перечислил Кредитору [__] платежами [сумма] руб. в погашение этой задолженности (платёжные поручения № [__] от «[дата]» на [__] руб., … — реестр платежей и выписка по счёту прилагаются). Заявление о признании Должника банкротом принято судом «[дата]»; оспариваемые платежи совершены [в течение одного месяца до этой даты / после принятия заявления].</w:t>
      </w:r>
    </w:p>
    <w:p>
      <w:pPr>
        <w:spacing w:after="120" w:line="276" w:lineRule="auto"/>
        <w:ind w:firstLine="709"/>
        <w:jc w:val="both"/>
      </w:pPr>
      <w:r>
        <w:rPr>
          <w:rFonts w:ascii="Times New Roman" w:hAnsi="Times New Roman"/>
          <w:b w:val="0"/>
          <w:i w:val="0"/>
          <w:sz w:val="24"/>
        </w:rPr>
        <w:t>Платёж — сделка, направленная на исполнение обязательства; пунктом 3 статьи 61.1 Закона о банкротстве установлено: «Правила настоящей главы могут применяться к оспариванию действий, направленных на исполнение обязательств и обязанностей, возникающих в соответствии с гражданским, трудовым, семейным законодательством, законодательством о налогах и сборах, таможенным законодательством Таможенного союза и (или) законодательством Российской Федерации о таможенном деле, процессуальным законодательством Российской Федерации и другими отраслями законодательства Российской Федерации, в том числе к оспариванию соглашений или приказов об увеличении размера заработной платы, о выплате премий или об осуществлении иных выплат в соответствии с трудовым законодательством Российской Федерации и к оспариванию самих таких выплат. К действиям, совершенным во исполнение судебных актов или правовых актов иных органов государственной власти, применяются правила, предусмотренные настоящей главой.» В пункте 1 Постановления № 63 разъяснено, что по правилам главы III.1 могут оспариваться, в частности, «действия, являющиеся исполнением гражданско-правовых обязательств (в том числе наличный или безналичный платеж должником денежного долга кредитору, передача должником иного имущества в собственность кредитора), или иные действия, направленные на прекращение обязательств (заявление о зачете, соглашение о новации, предоставление отступного и т.п.)».</w:t>
      </w:r>
    </w:p>
    <w:p>
      <w:pPr>
        <w:spacing w:after="120" w:line="276" w:lineRule="auto"/>
        <w:jc w:val="center"/>
      </w:pPr>
      <w:r>
        <w:rPr>
          <w:rFonts w:ascii="Times New Roman" w:hAnsi="Times New Roman"/>
          <w:b/>
          <w:i w:val="0"/>
          <w:sz w:val="24"/>
        </w:rPr>
        <w:t>II. Наличие иных кредиторов на дату платежей</w:t>
      </w:r>
    </w:p>
    <w:p>
      <w:pPr>
        <w:spacing w:after="120" w:line="276" w:lineRule="auto"/>
        <w:ind w:firstLine="709"/>
        <w:jc w:val="both"/>
      </w:pPr>
      <w:r>
        <w:rPr>
          <w:rFonts w:ascii="Times New Roman" w:hAnsi="Times New Roman"/>
          <w:b w:val="0"/>
          <w:i w:val="0"/>
          <w:sz w:val="24"/>
        </w:rPr>
        <w:t>На даты платежей у Должника имелись неисполненные обязательства перед другими кредиторами с наступившим сроком исполнения: перед [кредитор А] — [сумма] руб. (срок — «[дата]», решение суда от «[дата]», требование включено в реестр определением от «[дата]»); перед [кредитор Б] — [сумма] руб.; перед уполномоченным органом — [сумма] руб. (требование об уплате от «[дата]»); перед работниками — [сумма] руб. задолженности по заработной плате (вторая очередь). Эти требования к моменту платежей не были удовлетворены и впоследствии включены в реестр; на [дата] реестр составляет [сумма] руб., конкурсная масса — [сумма] руб., ожидаемое удовлетворение требований третьей очереди — [__] %.</w:t>
      </w:r>
    </w:p>
    <w:p>
      <w:pPr>
        <w:spacing w:after="120" w:line="276" w:lineRule="auto"/>
        <w:jc w:val="center"/>
      </w:pPr>
      <w:r>
        <w:rPr>
          <w:rFonts w:ascii="Times New Roman" w:hAnsi="Times New Roman"/>
          <w:b/>
          <w:i w:val="0"/>
          <w:sz w:val="24"/>
        </w:rPr>
        <w:t>III. Предпочтение</w:t>
      </w:r>
    </w:p>
    <w:p>
      <w:pPr>
        <w:spacing w:after="120" w:line="276" w:lineRule="auto"/>
        <w:ind w:firstLine="709"/>
        <w:jc w:val="both"/>
      </w:pPr>
      <w:r>
        <w:rPr>
          <w:rFonts w:ascii="Times New Roman" w:hAnsi="Times New Roman"/>
          <w:b w:val="0"/>
          <w:i w:val="0"/>
          <w:sz w:val="24"/>
        </w:rPr>
        <w:t>Получив [сумма] руб., Кредитор удовлетворил своё требование полностью, тогда как при расчётах в порядке очерёдности (статья 134 Закона о банкротстве) оно подлежало бы включению в третью очередь и удовлетворению пропорционально с другими кредиторами в размере не более [__] % ([сумма] руб.). Разница — [сумма] руб. — и есть размер оказанного предпочтения. Платежи также привели к удовлетворению требования третьей очереди при наличии неисполненных требований второй очереди (заработная плата), то есть к изменению очерёдности.</w:t>
      </w:r>
    </w:p>
    <w:p>
      <w:pPr>
        <w:spacing w:after="120" w:line="276" w:lineRule="auto"/>
        <w:jc w:val="center"/>
      </w:pPr>
      <w:r>
        <w:rPr>
          <w:rFonts w:ascii="Times New Roman" w:hAnsi="Times New Roman"/>
          <w:b/>
          <w:i w:val="0"/>
          <w:sz w:val="24"/>
        </w:rPr>
        <w:t>IV. Правовое обоснование</w:t>
      </w:r>
    </w:p>
    <w:p>
      <w:pPr>
        <w:spacing w:after="120" w:line="276" w:lineRule="auto"/>
        <w:ind w:firstLine="709"/>
        <w:jc w:val="both"/>
      </w:pPr>
      <w:r>
        <w:rPr>
          <w:rFonts w:ascii="Times New Roman" w:hAnsi="Times New Roman"/>
          <w:b/>
          <w:i w:val="0"/>
          <w:sz w:val="24"/>
        </w:rPr>
        <w:t>Основание — статья 61.3 Закона о банкротстве.</w:t>
      </w:r>
      <w:r>
        <w:rPr>
          <w:rFonts w:ascii="Times New Roman" w:hAnsi="Times New Roman"/>
          <w:b w:val="0"/>
          <w:i w:val="0"/>
          <w:sz w:val="24"/>
        </w:rPr>
        <w:t xml:space="preserve"> Пунктом 1 статьи 61.3 Закона о банкротстве установлено: «Сделка, совершенная должником в отношении отдельного кредитора или иного лица, может быть признана арбитражным судом недействительной, если такая сделка влечет или может повлечь за собой оказание предпочтения одному из кредиторов перед другими кредиторами в отношении удовлетворения требований, в частности при наличии одного из следующих условий: сделка направлена на обеспечение исполнения обязательства должника или третьего лица перед отдельным кредитором, возникшего до совершения оспариваемой сделки; сделка привела или может привести к изменению очередности удовлетворения требований кредитора по обязательствам, возникшим до совершения оспариваемой сделки; сделка привела или может привести к удовлетворению требований, срок исполнения которых к моменту совершения сделки не наступил, одних кредиторов при наличии не исполненных в установленный срок обязательств перед другими кредиторами; сделка привела к тому, что отдельному кредитору оказано или может быть оказано большее предпочтение в отношении удовлетворения требований, существовавших до совершения оспариваемой сделки, чем было бы оказано в случае расчетов с кредиторами в порядке очередности в соответствии с законодательством Российской Федерации о несостоятельности (банкротстве).»</w:t>
      </w:r>
    </w:p>
    <w:p>
      <w:pPr>
        <w:spacing w:after="120" w:line="276" w:lineRule="auto"/>
        <w:ind w:firstLine="709"/>
        <w:jc w:val="both"/>
      </w:pPr>
      <w:r>
        <w:rPr>
          <w:rFonts w:ascii="Times New Roman" w:hAnsi="Times New Roman"/>
          <w:b w:val="0"/>
          <w:i w:val="0"/>
          <w:sz w:val="24"/>
        </w:rPr>
        <w:t>Пунктом 2 статьи 61.3 Закона о банкротстве предусмотрено: «Сделка, указанная в пункте 1 настоящей статьи, может быть признана арбитражным судом недействительной, если она совершена после принятия арбитражным судом заявления о признании должника банкротом или в течение одного месяца до принятия арбитражным судом заявления о признании должника банкротом.» Пунктом 11 Постановления № 63 разъяснено: «Если сделка с предпочтением была совершена после принятия судом заявления о признании должника банкротом или в течение одного месяца до принятия судом заявления о признании должника банкротом, то в силу пункта 2 статьи 61.3 Закона о банкротстве для признания ее недействительной достаточно обстоятельств, указанных в пункте 1 статьи 61.3, в связи с чем наличия иных обстоятельств, предусмотренных пунктом 3 данной статьи (в частности, недобросовестности контрагента), не требуется.»</w:t>
      </w:r>
    </w:p>
    <w:p>
      <w:pPr>
        <w:spacing w:after="120" w:line="276" w:lineRule="auto"/>
        <w:ind w:firstLine="709"/>
        <w:jc w:val="both"/>
      </w:pPr>
      <w:r>
        <w:rPr>
          <w:rFonts w:ascii="Times New Roman" w:hAnsi="Times New Roman"/>
          <w:b w:val="0"/>
          <w:i w:val="0"/>
          <w:sz w:val="24"/>
        </w:rPr>
        <w:t>Согласно пункту 10 Постановления № 63 «Применяя перечень условий, когда имеет место оказание предпочтения одному из кредиторов перед другими кредиторами, приведенный в абзацах втором - пятом пункта 1 указанной статьи, судам следует иметь в виду, что для признания наличия такого предпочтения достаточно хотя бы одного из этих условий. Бремя доказывания того, что сделка влечет или может повлечь за собой оказание предпочтения, лежит на оспаривающем ее лице.»</w:t>
      </w:r>
    </w:p>
    <w:p>
      <w:pPr>
        <w:spacing w:after="120" w:line="276" w:lineRule="auto"/>
        <w:ind w:firstLine="709"/>
        <w:jc w:val="both"/>
      </w:pPr>
      <w:r>
        <w:rPr>
          <w:rFonts w:ascii="Times New Roman" w:hAnsi="Times New Roman"/>
          <w:b w:val="0"/>
          <w:i w:val="0"/>
          <w:sz w:val="24"/>
        </w:rPr>
        <w:t>Поскольку платежи совершены [в месячный период до принятия заявления о банкротстве / после его принятия], в силу пункта 2 статьи 61.3 Закона о банкротстве и пункта 11 Постановления № 63 доказывать осведомлённость Кредитора о неплатёжеспособности Должника не требуется: достаточно факта предпочтения. Пунктом 29.4 Постановления № 63 разъяснено: «Поскольку оспаривание сделок с предпочтением имеет целью защитить интересы других кредиторов, при оспаривании на основании статьи 61.3 Закона о банкротстве платежа, размер которого существенно превышает разницу между стоимостью конкурсной массы и общим размером требований кредиторов (включенных в реестр требований кредиторов, в том числе опоздавших, а также имеющихся и разумно необходимых будущих текущих), суд признает платеж недействительным только в части суммы, равной такой разнице.»</w:t>
      </w:r>
    </w:p>
    <w:p>
      <w:pPr>
        <w:spacing w:after="120" w:line="276" w:lineRule="auto"/>
        <w:ind w:firstLine="709"/>
        <w:jc w:val="both"/>
      </w:pPr>
      <w:r>
        <w:rPr>
          <w:rFonts w:ascii="Times New Roman" w:hAnsi="Times New Roman"/>
          <w:b/>
          <w:i w:val="0"/>
          <w:sz w:val="24"/>
        </w:rPr>
        <w:t>Сделка не относится к обычной хозяйственной деятельности.</w:t>
      </w:r>
      <w:r>
        <w:rPr>
          <w:rFonts w:ascii="Times New Roman" w:hAnsi="Times New Roman"/>
          <w:b w:val="0"/>
          <w:i w:val="0"/>
          <w:sz w:val="24"/>
        </w:rPr>
        <w:t xml:space="preserve"> Пунктом 2 статьи 61.4 Закона о банкротстве установлено: «Сделки по передаче имущества и принятию обязательств или обязанностей, совершаемые в обычной хозяйственной деятельности, осуществляемой должником, не могут быть оспорены на основании пункта 1 статьи 61.2 и статьи 61.3 настоящего Федерального закона, если цена имущества, передаваемого по одной или нескольким взаимосвязанным сделкам, или размер принятых обязательств или обязанностей не превышает один процент стоимости активов должника, определяемой на основании бухгалтерской отчетности должника за последний отчетный период.» Пунктом 14 Постановления № 63 разъяснено: «Согласно пункту 2 статьи 61.4 Закона о банкротстве сделки по передаче имущества и принятию обязательств или обязанностей, совершаемые в обычной хозяйственной деятельности, осуществляемой должником, не могут быть оспорены на основании пункта 1 статьи 61.2 или статьи 61.3 Закона о банкротстве, если цена имущества, передаваемого по одной или нескольким взаимосвязанным сделкам, или размер принятых обязательств или обязанностей не превышает один процент стоимости активов должника, определяемой на основании бухгалтерской отчетности должника за последний отчетный период. Бремя доказывания того, что сделка была совершена в процессе обычной хозяйственной деятельности, осуществляемой должником, лежит на другой стороне сделки. Бремя доказывания того, что цена сделки превысила один процент стоимости активов должника, лежит на оспаривающем сделку лице. При определении того, была ли сделка совершена в процессе обычной хозяйственной деятельности должника, следует учитывать, что таковой является сделка, не отличающаяся существенно по своим основным условиям от аналогичных сделок, неоднократно совершавшихся до этого должником в течение продолжительного периода времени. К таким сделкам, в частности, с учетом всех обстоятельств дела могут быть отнесены платежи по длящимся обязательствам (возврат очередной части кредита в соответствии с графиком, уплата ежемесячной арендной платы, выплата заработной платы, оплата коммунальных услуг, платежи за услуги сотовой связи и Интернет, уплата налогов и т.п.). Не могут быть, по общему правилу, отнесены к таким сделкам платеж со значительной просрочкой, предоставление отступного, а также не обоснованный разумными экономическими причинами досрочный возврат кредита.» Оспариваемый платёж [превышает один процент стоимости активов Должника по балансу на последнюю отчётную дату ([сумма] руб. — приложение) / совершён со значительной просрочкой / является досрочным возвратом долга / предоставлением отступного], поэтому исключение пункта 2 статьи 61.4 Закона о банкротстве не применяется.</w:t>
      </w:r>
    </w:p>
    <w:p>
      <w:pPr>
        <w:spacing w:after="120" w:line="276" w:lineRule="auto"/>
        <w:ind w:firstLine="709"/>
        <w:jc w:val="both"/>
      </w:pPr>
      <w:r>
        <w:rPr>
          <w:rFonts w:ascii="Times New Roman" w:hAnsi="Times New Roman"/>
          <w:b w:val="0"/>
          <w:i w:val="0"/>
          <w:sz w:val="24"/>
        </w:rPr>
        <w:t>Платежи совершены [со значительной просрочкой — через [__] месяцев после срока оплаты / единовременно в погашение накопленного долга / после получения Кредитором претензии и подачи иска], что исключает их отнесение к обычной хозяйственной деятельности (пункт 14 Постановления № 63). [Сумма платежей ([сумма] руб.) превышает один процент стоимости активов Должника ([сумма] руб. по балансу на [отчётная дата]).]</w:t>
      </w:r>
    </w:p>
    <w:p>
      <w:pPr>
        <w:spacing w:after="120" w:line="276" w:lineRule="auto"/>
        <w:jc w:val="center"/>
      </w:pPr>
      <w:r>
        <w:rPr>
          <w:rFonts w:ascii="Times New Roman" w:hAnsi="Times New Roman"/>
          <w:b/>
          <w:i w:val="0"/>
          <w:sz w:val="24"/>
        </w:rPr>
        <w:t>V.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В силу пункта 1 статьи 61.9 Закона о банкротстве срок исковой давности исчисляется с момента, когда арбитражный управляющий узнал или должен был узнать о наличии оснований для оспаривания сделки. Конкурсный управляющий утверждён «[дата]»; документация Должника получена от бывшего руководителя «[дата]» [вариант: не передана, сведения о сделке получены из [источник] «[дата]»], поэтому годичный срок на дату подачи заявления не истёк.</w:t>
      </w:r>
    </w:p>
    <w:p>
      <w:pPr>
        <w:spacing w:after="120" w:line="276" w:lineRule="auto"/>
        <w:jc w:val="center"/>
      </w:pPr>
      <w:r>
        <w:rPr>
          <w:rFonts w:ascii="Times New Roman" w:hAnsi="Times New Roman"/>
          <w:b/>
          <w:i w:val="0"/>
          <w:sz w:val="24"/>
        </w:rPr>
        <w:t>VI.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Пунктом 4 статьи 61.6 Закона о банкротстве установлено: «В случае признания на основании статьи 61.3 настоящего Федерального закона недействительными действий должника по уплате денег, передаче вещей или иному исполнению обязательства, а также по совершению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возникшим с момента совершения недействительной сделки. При этом право требования кредитора по этому обязательству к должнику считается существовавшим независимо от совершения данной сделки.» Пунктом 25 Постановления № 63 разъяснено: «В связи с этим в случае признания на основании статей 61.2 или 61.3 Закона о банкротстве недействительными действий должника по уплате денег, передаче вещей или иному исполнению обязательства, а также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восстановленным с момента совершения недействительной сделки, а право требования кредитора по этому обязательству к должнику (далее - восстановленное требование) считается существовавшим независимо от совершения этой сделки (абзац первый пункта 4 статьи 61.6 Закона о банкротстве).»</w:t>
      </w:r>
    </w:p>
    <w:p>
      <w:pPr>
        <w:spacing w:after="120" w:line="276" w:lineRule="auto"/>
        <w:ind w:firstLine="709"/>
        <w:jc w:val="both"/>
      </w:pPr>
      <w:r>
        <w:rPr>
          <w:rFonts w:ascii="Times New Roman" w:hAnsi="Times New Roman"/>
          <w:b w:val="0"/>
          <w:i w:val="0"/>
          <w:sz w:val="24"/>
        </w:rPr>
        <w:t>Пунктом 3 статьи 61.6 Закона о банкротстве установлено: «Кредиторы и иные лица, которым передано имущество или перед которыми должник исполнял обязательства или обязанности по сделке, признанной недействительной на основании пункта 1 статьи 61.2, пункта 2 статьи 61.3 настоящего Федерального закона и Гражданского кодекса Российской Федерации, в случае возврата в конкурсную массу полученного по недействительной сделке имущества приобретают право требования к должнику, которое подлежит удовлетворению в порядке, предусмотренном законодательством Российской Федерации о несостоятельности (банкротстве).» Пунктом 27 Постановления № 63 разъяснено: «В случае, когда упомянутая в пункте 25 настоящего Постановления сделка была признана недействительной на основании пункта 1 статьи 61.2 или пункта 2 статьи 61.3 Закона о банкротстве, восстановленное требование подлежит включению в реестр требований кредиторов и удовлетворению в составе требований третьей очереди (пункт 3 статьи 61.6 Закона о банкротстве); такое требование может быть предъявлено должнику в порядке, предусмотренном статьей 100 Закона о банкротстве, в ходе внешнего управления или конкурсного производства.»</w:t>
      </w:r>
    </w:p>
    <w:p>
      <w:pPr>
        <w:spacing w:after="120" w:line="276" w:lineRule="auto"/>
        <w:ind w:firstLine="709"/>
        <w:jc w:val="both"/>
      </w:pPr>
      <w:r>
        <w:rPr>
          <w:rFonts w:ascii="Times New Roman" w:hAnsi="Times New Roman"/>
          <w:b w:val="0"/>
          <w:i w:val="0"/>
          <w:sz w:val="24"/>
        </w:rPr>
        <w:t>Таким образом, с Кредитора подлежит взысканию в конкурсную массу [сумма] руб.; требование Кредитора к Должнику в той же сумме считается восстановленным и может быть предъявлено в порядке статьи 100 Закона о банкротстве для включения в третью очередь реестра после возврата полученного. Пунктом 29.1 Постановления № 63 разъяснено: «Если суд признал на основании статей 61.2 или 61.3 Закона о банкротстве недействительными действия должника по уплате денег, то проценты за пользование чужими денежными средствами (статья 395 ГК РФ) на сумму, подлежащую возврату кредитором должнику, на основании пункта 2 статьи 1107 ГК РФ подлежат начислению с момента вступления в силу определения суда о признании сделки недействительной, если не будет доказано, что кредитор узнал или должен был узнать о том, что у сделки имеются основания недействительности в соответствии со статьями 61.2 или 61.3 Закона о банкротстве, ранее признания ее недействительной - в последнем случае указанные проценты начисляются с момента, когда он узнал или должен был узнать об этом.»</w:t>
      </w:r>
    </w:p>
    <w:p>
      <w:pPr>
        <w:spacing w:after="120" w:line="276" w:lineRule="auto"/>
        <w:jc w:val="center"/>
      </w:pPr>
      <w:r>
        <w:rPr>
          <w:rFonts w:ascii="Times New Roman" w:hAnsi="Times New Roman"/>
          <w:b/>
          <w:i w:val="0"/>
          <w:sz w:val="24"/>
        </w:rPr>
        <w:t>VII.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организаций — 50 000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25 000 руб.</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166, 167, 395 Гражданского кодекса Российской Федерации, статьями 2, 61.1, 61.3, 61.4, 61.6, 61.8, 61.9, 129, 134 Федерального закона «О несостоятельности (банкротстве)», статьями 65, 125, 126, 223 Арбитражного процессуального кодекса Российской Федерации, конкурсный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Признать недействительными сделки по перечислению [наименование Должника] в пользу [наименование ответчика] денежных средств по платёжным поручениям от «[дата]» № [__] на сумму [__] руб., […] на общую сумму [сумма] руб.</w:t>
      </w:r>
    </w:p>
    <w:p>
      <w:pPr>
        <w:spacing w:after="120" w:line="276" w:lineRule="auto"/>
        <w:ind w:firstLine="709"/>
        <w:jc w:val="both"/>
      </w:pPr>
      <w:r>
        <w:rPr>
          <w:rFonts w:ascii="Times New Roman" w:hAnsi="Times New Roman"/>
          <w:b w:val="0"/>
          <w:i w:val="0"/>
          <w:sz w:val="24"/>
        </w:rPr>
        <w:t>3. Применить последствия недействительности сделок: взыскать с [наименование ответчика] в конкурсную массу [наименование Должника] [сумма] руб. [и проценты за пользование чужими денежными средствами по статье 395 ГК РФ с даты вступления определения в законную силу по день фактического исполнения]; восстановить задолженность [наименование Должника] перед [наименование ответчика] по договору от «[дата]» № [__] в размере [сумма] руб.</w:t>
      </w:r>
    </w:p>
    <w:p>
      <w:pPr>
        <w:spacing w:after="120" w:line="276" w:lineRule="auto"/>
        <w:ind w:firstLine="709"/>
        <w:jc w:val="both"/>
      </w:pPr>
      <w:r>
        <w:rPr>
          <w:rFonts w:ascii="Times New Roman" w:hAnsi="Times New Roman"/>
          <w:b w:val="0"/>
          <w:i w:val="0"/>
          <w:sz w:val="24"/>
        </w:rPr>
        <w:t>4.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Выписка по расчётному счёту Должника с оспариваемыми платежами; платёжные поручения; реестр платежей с расчётом предпочтения.</w:t>
      </w:r>
    </w:p>
    <w:p>
      <w:pPr>
        <w:spacing w:after="40" w:line="276" w:lineRule="auto"/>
        <w:jc w:val="left"/>
      </w:pPr>
      <w:r>
        <w:rPr>
          <w:rFonts w:ascii="Times New Roman" w:hAnsi="Times New Roman"/>
          <w:b w:val="0"/>
          <w:i w:val="0"/>
          <w:sz w:val="24"/>
        </w:rPr>
        <w:t>4. Копия договора с Кредитором, акты сверки, первичные документы о возникновении и сроке исполнения обязательства.</w:t>
      </w:r>
    </w:p>
    <w:p>
      <w:pPr>
        <w:spacing w:after="40" w:line="276" w:lineRule="auto"/>
        <w:jc w:val="left"/>
      </w:pPr>
      <w:r>
        <w:rPr>
          <w:rFonts w:ascii="Times New Roman" w:hAnsi="Times New Roman"/>
          <w:b w:val="0"/>
          <w:i w:val="0"/>
          <w:sz w:val="24"/>
        </w:rPr>
        <w:t>5. Доказательства наличия иных кредиторов с наступившим сроком исполнения на даты платежей: судебные акты, требования, расчёт задолженности по зарплате; реестр требований кредиторов.</w:t>
      </w:r>
    </w:p>
    <w:p>
      <w:pPr>
        <w:spacing w:after="40" w:line="276" w:lineRule="auto"/>
        <w:jc w:val="left"/>
      </w:pPr>
      <w:r>
        <w:rPr>
          <w:rFonts w:ascii="Times New Roman" w:hAnsi="Times New Roman"/>
          <w:b w:val="0"/>
          <w:i w:val="0"/>
          <w:sz w:val="24"/>
        </w:rPr>
        <w:t>6. Бухгалтерский баланс Должника на последнюю отчётную дату перед платежами (расчёт 1 % активов).</w:t>
      </w:r>
    </w:p>
    <w:p>
      <w:pPr>
        <w:spacing w:after="40" w:line="276" w:lineRule="auto"/>
        <w:jc w:val="left"/>
      </w:pPr>
      <w:r>
        <w:rPr>
          <w:rFonts w:ascii="Times New Roman" w:hAnsi="Times New Roman"/>
          <w:b w:val="0"/>
          <w:i w:val="0"/>
          <w:sz w:val="24"/>
        </w:rPr>
        <w:t>7.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8.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9.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10.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11.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 [и иным лицам, участвующим в деле].</w:t>
      </w:r>
    </w:p>
    <w:p>
      <w:pPr>
        <w:spacing w:after="40" w:line="276" w:lineRule="auto"/>
        <w:jc w:val="left"/>
      </w:pPr>
      <w:r>
        <w:rPr>
          <w:rFonts w:ascii="Times New Roman" w:hAnsi="Times New Roman"/>
          <w:b w:val="0"/>
          <w:i w:val="0"/>
          <w:sz w:val="24"/>
        </w:rPr>
        <w:t>12.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Для платежей в месячный период до принятия заявления и после него (п. 2 ст. 61.3) осведомлённость кредитора не доказывается — только предпочтение. Если платежи старше месяца, но моложе шести — используйте образец по п. 3 ст. 61.3 (нужна осведомлённость).</w:t>
      </w:r>
    </w:p>
    <w:p>
      <w:pPr>
        <w:spacing w:after="40" w:line="276" w:lineRule="auto"/>
        <w:jc w:val="both"/>
      </w:pPr>
      <w:r>
        <w:rPr>
          <w:rFonts w:ascii="Times New Roman" w:hAnsi="Times New Roman"/>
          <w:b w:val="0"/>
          <w:i/>
          <w:sz w:val="24"/>
        </w:rPr>
        <w:t>— Главное возражение ответчика — обычная хозяйственная деятельность (п. 2 ст. 61.4). Заранее покажите просрочку, разовость или сумму свыше 1 % активов; текущие платежи (возникшие после принятия заявления) оспариваются отдельно по п. 13 Постановления № 63.</w:t>
      </w:r>
    </w:p>
    <w:p>
      <w:pPr>
        <w:spacing w:after="40" w:line="276" w:lineRule="auto"/>
        <w:jc w:val="both"/>
      </w:pPr>
      <w:r>
        <w:rPr>
          <w:rFonts w:ascii="Times New Roman" w:hAnsi="Times New Roman"/>
          <w:b w:val="0"/>
          <w:i/>
          <w:sz w:val="24"/>
        </w:rPr>
        <w:t>— Проценты по ст. 395 ГК РФ на возвращаемую сумму начисляются с даты вступления определения в силу, если не доказано, что кредитор знал о предпочтении раньше (п. 29.1 Постановления № 63).</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