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[+ 15 000 руб. за ходатайство об обеспечительных мерах: подп. 17 п. 1 ст. 333.21 НК РФ с учётом подп. 9 п. 1]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договора [оказания услуг / аренды / поставки] и платежей по нему и применении последствий недействительности сделок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«[дата]» между Должником (заказчик) и [наименование ответчика] (исполнитель) заключён договор [оказания консультационных (управленческих, маркетинговых) услуг / аренды [объект] / поставки] № [__] (далее — Договор) с ценой [сумма] руб. в месяц [за единицу]. В период с «[дата]» по «[дата]» Должник перечислил ответчику по Договору [сумма] руб. ([__] платежей, выписка по счёту — приложение). Акты об оказании услуг подписаны формально, содержат лишь наименование услуги и сумму, без описания результата [отчёты, переписка, конкретные исполнители отсутствуют]. [Аналогичные услуги Должник получал от штатных сотрудников / ранее не приобретал вовсе.]</w:t>
      </w:r>
    </w:p>
    <w:p>
      <w:pPr>
        <w:spacing w:after="120" w:line="276" w:lineRule="auto"/>
        <w:ind w:firstLine="709"/>
        <w:jc w:val="both"/>
      </w:pPr>
      <w:r>
        <w:rPr>
          <w:rFonts w:ascii="Times New Roman" w:hAnsi="Times New Roman"/>
          <w:b w:val="0"/>
          <w:i w:val="0"/>
          <w:sz w:val="24"/>
        </w:rPr>
        <w:t>Рыночная стоимость сопоставимых услуг (аренды аналогичных помещений) в тот же период составляла [сумма] руб. в месяц ([коммерческие предложения, отчёт об оценке, данные о ставках аренды в том же здании] — приложения), то есть цена Договора завышена в [__] раз. [Часть услуг, указанных в актах, фактически не оказывалась: [основания].]</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одного года до принятия заявления о признании Должника банкротом, и подпадает под период, установленный пунктом 1 статьи 61.2 Закона о банкротстве (платежи после принятия заявления о банкротстве также оспариваются по этой норме); платежи более ранних периодов — в трёхлетний период пункта 2 той же статьи.</w:t>
      </w:r>
    </w:p>
    <w:p>
      <w:pPr>
        <w:spacing w:after="120" w:line="276" w:lineRule="auto"/>
        <w:jc w:val="center"/>
      </w:pPr>
      <w:r>
        <w:rPr>
          <w:rFonts w:ascii="Times New Roman" w:hAnsi="Times New Roman"/>
          <w:b/>
          <w:i w:val="0"/>
          <w:sz w:val="24"/>
        </w:rPr>
        <w:t>II. Неисполненные обязательства Должника на дату сделок</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Заинтересованность ответчика</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jc w:val="center"/>
      </w:pPr>
      <w:r>
        <w:rPr>
          <w:rFonts w:ascii="Times New Roman" w:hAnsi="Times New Roman"/>
          <w:b/>
          <w:i w:val="0"/>
          <w:sz w:val="24"/>
        </w:rPr>
        <w:t>IV. Правовое обоснование</w:t>
      </w:r>
    </w:p>
    <w:p>
      <w:pPr>
        <w:spacing w:after="120" w:line="276" w:lineRule="auto"/>
        <w:ind w:firstLine="709"/>
        <w:jc w:val="both"/>
      </w:pPr>
      <w:r>
        <w:rPr>
          <w:rFonts w:ascii="Times New Roman" w:hAnsi="Times New Roman"/>
          <w:b/>
          <w:i w:val="0"/>
          <w:sz w:val="24"/>
        </w:rPr>
        <w:t>Оспаривание договора и платежей как самостоятельных сделок.</w:t>
      </w:r>
      <w:r>
        <w:rPr>
          <w:rFonts w:ascii="Times New Roman" w:hAnsi="Times New Roman"/>
          <w:b w:val="0"/>
          <w:i w:val="0"/>
          <w:sz w:val="24"/>
        </w:rPr>
        <w:t xml:space="preserve"> Пунктом 1 статьи 61.1 Закона о банкротстве установлено: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 Согласно пункту 3 той же статьи «Правила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 В пункте 1 Постановления № 63 разъяснено, что по правилам главы III.1 Закона о банкротстве могут оспариваться, в частности, «действия, являющиеся исполнением гражданско-правовых обязательств (в том числе наличный или безналичный платеж должником денежного долга кредитору, передача должником иного имущества в собственность кредитора), или иные действия, направленные на прекращение обязательств (заявление о зачете, соглашение о новации, предоставление отступного и т.п.)».</w:t>
      </w:r>
    </w:p>
    <w:p>
      <w:pPr>
        <w:spacing w:after="120" w:line="276" w:lineRule="auto"/>
        <w:ind w:firstLine="709"/>
        <w:jc w:val="both"/>
      </w:pPr>
      <w:r>
        <w:rPr>
          <w:rFonts w:ascii="Times New Roman" w:hAnsi="Times New Roman"/>
          <w:b/>
          <w:i w:val="0"/>
          <w:sz w:val="24"/>
        </w:rPr>
        <w:t>Основание — пункт 1 статьи 61.2 Закона о банкротстве.</w:t>
      </w:r>
      <w:r>
        <w:rPr>
          <w:rFonts w:ascii="Times New Roman" w:hAnsi="Times New Roman"/>
          <w:b w:val="0"/>
          <w:i w:val="0"/>
          <w:sz w:val="24"/>
        </w:rPr>
        <w:t xml:space="preserve"> Пунктом 1 статьи 61.2 Закона о банкротстве установлено: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line="276" w:lineRule="auto"/>
        <w:ind w:firstLine="709"/>
        <w:jc w:val="both"/>
      </w:pPr>
      <w:r>
        <w:rPr>
          <w:rFonts w:ascii="Times New Roman" w:hAnsi="Times New Roman"/>
          <w:b w:val="0"/>
          <w:i w:val="0"/>
          <w:sz w:val="24"/>
        </w:rPr>
        <w:t>Пунктом 8 Постановления № 63 разъяснено: «Для признания сделки недействительной на основании указанной нормы не требуется, чтобы она уже была исполнена обеими или одной из сторон сделки, поэтому неравноценность встречного исполнения обязательств может устанавливаться исходя из условий сделки. В соответствии с абзацем первым пункта 1 статьи 61.2 Закона о банкротстве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При сравнении условий сделки с аналогичными сделками следует учитывать как условия аналогичных сделок, совершавшихся должником, так и условия, на которых аналогичные сделки совершались иными участниками оборота. На основании пункта 1 статьи 61.2 Закона о банкротстве может быть оспорена также сделка, условия которой формально предусматривают равноценное встречное исполнение, однако должнику на момент ее заключения было известно, что у контрагента по сделке нет и не будет имущества, достаточного для осуществления им встречного исполнения.» Согласно пункту 9 Постановления № 63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пунктом 2 данной статьи (в частности, недобросовестности контрагента), не требуется. Судом в случае оспаривания подозрительной сделки проверяется наличие обоих оснований, установленных как пунктом 1, так и пунктом 2 статьи 61.2 Закона о банкротстве.»</w:t>
      </w:r>
    </w:p>
    <w:p>
      <w:pPr>
        <w:spacing w:after="120" w:line="276" w:lineRule="auto"/>
        <w:ind w:firstLine="709"/>
        <w:jc w:val="both"/>
      </w:pPr>
      <w:r>
        <w:rPr>
          <w:rFonts w:ascii="Times New Roman" w:hAnsi="Times New Roman"/>
          <w:b w:val="0"/>
          <w:i w:val="0"/>
          <w:sz w:val="24"/>
        </w:rPr>
        <w:t>Цена Договора существенно в худшую для Должника сторону отличается от цены, по которой в сравнимых обстоятельствах совершаются аналогичные сделки, а платежи в части превышения рыночной стоимости [и в части неоказанных услуг] лишены встречного предоставления. Это образует состав пункта 1 статьи 61.2 Закона о банкротстве как для Договора, так и для каждого платежа в пределах годичного периода.</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Для платежей за пределами годичного периода доказан состав пункта 2 статьи 61.2 Закона о банкротстве: в условиях неплатёжеспособности Должник систематически выводил денежные средства аффилированному лицу под видом оплаты услуг; вред выразился в уменьшении конкурсной массы на [сумма] руб.; осведомлённость ответчика как заинтересованного лица презюмируется.</w:t>
      </w:r>
    </w:p>
    <w:p>
      <w:pPr>
        <w:spacing w:after="120" w:line="276" w:lineRule="auto"/>
        <w:ind w:firstLine="709"/>
        <w:jc w:val="both"/>
      </w:pPr>
      <w:r>
        <w:rPr>
          <w:rFonts w:ascii="Times New Roman" w:hAnsi="Times New Roman"/>
          <w:b/>
          <w:i w:val="0"/>
          <w:sz w:val="24"/>
        </w:rPr>
        <w:t>Мнимость сделки (пункт 1 статьи 170 ГК РФ).</w:t>
      </w:r>
      <w:r>
        <w:rPr>
          <w:rFonts w:ascii="Times New Roman" w:hAnsi="Times New Roman"/>
          <w:b w:val="0"/>
          <w:i w:val="0"/>
          <w:sz w:val="24"/>
        </w:rPr>
        <w:t xml:space="preserve"> Пунктом 1 статьи 170 ГК РФ установлено: «Мнимая сделка, то есть сделка, совершенная лишь для вида, без намерения создать соответствующие ей правовые последствия, ничтожна.» Пунктом 86 Постановления № 25 разъяснено: «Следует учитывать, что стороны такой сделки могут также осуществить для вида ее формальное исполнение. Например, во избежание обращения взыскания на движимое имущество должника заключить договоры купли-продажи или доверительного управления и составить акты о передаче данного имущества, при этом сохранив контроль соответственно продавца или учредителя управления за ним. Равным образом осуществление сторонами мнимой сделки для вида государственной регистрации перехода права собственности на недвижимое имущество не препятствует квалификации такой сделки как ничтожной на основании пункта 1 статьи 170 ГК РФ.»</w:t>
      </w:r>
    </w:p>
    <w:p>
      <w:pPr>
        <w:spacing w:after="120" w:line="276" w:lineRule="auto"/>
        <w:ind w:firstLine="709"/>
        <w:jc w:val="both"/>
      </w:pPr>
      <w:r>
        <w:rPr>
          <w:rFonts w:ascii="Times New Roman" w:hAnsi="Times New Roman"/>
          <w:b w:val="0"/>
          <w:i w:val="0"/>
          <w:sz w:val="24"/>
        </w:rPr>
        <w:t>[В части услуг, которые фактически не оказывались, Договор и акты являются мнимыми: стороны не намеревались создать правовые последствия, а оформили документы для придания платежам видимости законного основания.]</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jc w:val="center"/>
      </w:pPr>
      <w:r>
        <w:rPr>
          <w:rFonts w:ascii="Times New Roman" w:hAnsi="Times New Roman"/>
          <w:b/>
          <w:i w:val="0"/>
          <w:sz w:val="24"/>
        </w:rPr>
        <w:t>V.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Последствием недействительности платежей является взыскание с ответчика в конкурсную массу [всей перечисленной суммы — [сумма] руб. / разницы между уплаченным и рыночной стоимостью фактически оказанных услуг — [сумма] руб.].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ind w:firstLine="709"/>
        <w:jc w:val="both"/>
      </w:pPr>
      <w:r>
        <w:rPr>
          <w:rFonts w:ascii="Times New Roman" w:hAnsi="Times New Roman"/>
          <w:b w:val="0"/>
          <w:i w:val="0"/>
          <w:sz w:val="24"/>
        </w:rPr>
        <w:t>Пунктом 3 статьи 61.6 Закона о банкротстве установлено: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Пунктом 27 Постановления № 63 разъяснено: «В случае, когда упомянутая в пункте 25 настоящего Постановления сделка была признана недействительной на основании пункта 1 статьи 61.2 или пункта 2 статьи 61.3 Закона о банкротстве, восстановленное требование подлежит включению в реестр требований кредиторов и удовлетворению в составе требований третьей очереди (пункт 3 статьи 61.6 Закона о банкротстве); такое требование может быть предъявлено должнику в порядке, предусмотренном статьей 100 Закона о банкротстве, в ходе внешнего управления или конкурсного производства.»</w:t>
      </w:r>
    </w:p>
    <w:p>
      <w:pPr>
        <w:spacing w:after="120" w:line="276" w:lineRule="auto"/>
        <w:jc w:val="center"/>
      </w:pPr>
      <w:r>
        <w:rPr>
          <w:rFonts w:ascii="Times New Roman" w:hAnsi="Times New Roman"/>
          <w:b/>
          <w:i w:val="0"/>
          <w:sz w:val="24"/>
        </w:rPr>
        <w:t>VII.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входит в одну группу с Должником, не ведёт реальной деятельности и способен в короткий срок вывести полученные средства; пунктом 1 части 1 статьи 91 АПК РФ предусмотрена мера в виде «наложение ареста на денежные средства (в том числе денежные средства, которые будут поступать на банковский счет) или иное имущество, принадлежащие ответчику и находящиеся у него или других лиц». Испрашиваемая мера в виде наложения ареста на денежные средства и имущество ответчика в пределах суммы требования ([сумма] руб.)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VIII.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 За ходатайство об обеспечительных мерах пошлина составляет 15 000 руб. (подп. 17 п. 1 ст. 333.21 НК РФ — 30 000 руб. — с учётом подп. 9 п. 1 той же статьи).</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170, 1102, 1107 Гражданского кодекса Российской Федерации, статьями 2, 19, 61.1, 61.2, 61.6, 61.8, 61.9, 129 Федерального закона «О несостоятельности (банкротстве)», статьями 65, 90, 91, 92,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наложить арест на денежные средства (в том числе поступающие на счета) и иное имущество [наименование ответчика] в пределах [сумма] руб.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[наименование] от «[дата]» № [__], заключённый между [наименование Должника] и [наименование ответчика] [в части цены, превышающей [сумма] руб. в месяц].</w:t>
      </w:r>
    </w:p>
    <w:p>
      <w:pPr>
        <w:spacing w:after="120" w:line="276" w:lineRule="auto"/>
        <w:ind w:firstLine="709"/>
        <w:jc w:val="both"/>
      </w:pPr>
      <w:r>
        <w:rPr>
          <w:rFonts w:ascii="Times New Roman" w:hAnsi="Times New Roman"/>
          <w:b w:val="0"/>
          <w:i w:val="0"/>
          <w:sz w:val="24"/>
        </w:rPr>
        <w:t>4. Признать недействительными платежи [наименование Должника] в пользу [наименование ответчика] по платёжным поручениям от «[дата]» № [__] на сумму [__] руб., […] на общую сумму [сумма] руб.</w:t>
      </w:r>
    </w:p>
    <w:p>
      <w:pPr>
        <w:spacing w:after="120" w:line="276" w:lineRule="auto"/>
        <w:ind w:firstLine="709"/>
        <w:jc w:val="both"/>
      </w:pPr>
      <w:r>
        <w:rPr>
          <w:rFonts w:ascii="Times New Roman" w:hAnsi="Times New Roman"/>
          <w:b w:val="0"/>
          <w:i w:val="0"/>
          <w:sz w:val="24"/>
        </w:rPr>
        <w:t>5. Применить последствия недействительности сделок: взыскать с [наименование ответчика] в конкурсную массу [наименование Должника] [сумма] руб. [и проценты за пользование чужими денежными средствами по статье 395 ГК РФ с даты каждого платежа по день фактического возврата].</w:t>
      </w:r>
    </w:p>
    <w:p>
      <w:pPr>
        <w:spacing w:after="120" w:line="276" w:lineRule="auto"/>
        <w:ind w:firstLine="709"/>
        <w:jc w:val="both"/>
      </w:pPr>
      <w:r>
        <w:rPr>
          <w:rFonts w:ascii="Times New Roman" w:hAnsi="Times New Roman"/>
          <w:b w:val="0"/>
          <w:i w:val="0"/>
          <w:sz w:val="24"/>
        </w:rPr>
        <w:t>6.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Договора, актов, счетов; выписка по расчётному счёту Должника с оспариваемыми платежами; реестр платежей с расчётом требования.</w:t>
      </w:r>
    </w:p>
    <w:p>
      <w:pPr>
        <w:spacing w:after="40" w:line="276" w:lineRule="auto"/>
        <w:jc w:val="left"/>
      </w:pPr>
      <w:r>
        <w:rPr>
          <w:rFonts w:ascii="Times New Roman" w:hAnsi="Times New Roman"/>
          <w:b w:val="0"/>
          <w:i w:val="0"/>
          <w:sz w:val="24"/>
        </w:rPr>
        <w:t>4. Доказательства рыночной стоимости аналогичных услуг (аренды): коммерческие предложения, отчёт об оценке, данные о ставках; штатное расписание Должника [если услуги дублировали функции работников].</w:t>
      </w:r>
    </w:p>
    <w:p>
      <w:pPr>
        <w:spacing w:after="40" w:line="276" w:lineRule="auto"/>
        <w:jc w:val="left"/>
      </w:pPr>
      <w:r>
        <w:rPr>
          <w:rFonts w:ascii="Times New Roman" w:hAnsi="Times New Roman"/>
          <w:b w:val="0"/>
          <w:i w:val="0"/>
          <w:sz w:val="24"/>
        </w:rPr>
        <w:t>5. Доказательства аффилированности сторон (выписки из ЕГРЮЛ, сведения об участниках и руководителях, общие адреса и контакты).</w:t>
      </w:r>
    </w:p>
    <w:p>
      <w:pPr>
        <w:spacing w:after="40" w:line="276" w:lineRule="auto"/>
        <w:jc w:val="left"/>
      </w:pPr>
      <w:r>
        <w:rPr>
          <w:rFonts w:ascii="Times New Roman" w:hAnsi="Times New Roman"/>
          <w:b w:val="0"/>
          <w:i w:val="0"/>
          <w:sz w:val="24"/>
        </w:rPr>
        <w:t>6. Бухгалтерская отчётность ответчика [отсутствие персонала и ресурсов для оказания услуг].</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Оспаривайте и договор, и каждый платёж: платежи — самостоятельные сделки (п. 3 ст. 61.1 Закона о банкротстве, п. 1 Постановления № 63), для каждого из них период подозрительности считается отдельно. Приложите таблицу платежей с датами и суммами.</w:t>
      </w:r>
    </w:p>
    <w:p>
      <w:pPr>
        <w:spacing w:after="40" w:line="276" w:lineRule="auto"/>
        <w:jc w:val="both"/>
      </w:pPr>
      <w:r>
        <w:rPr>
          <w:rFonts w:ascii="Times New Roman" w:hAnsi="Times New Roman"/>
          <w:b w:val="0"/>
          <w:i/>
          <w:sz w:val="24"/>
        </w:rPr>
        <w:t>— Ответчик будет ссылаться на обычную хозяйственную деятельность (п. 2 ст. 61.4). Это исключение не применяется к п. 2 ст. 61.2 (п. 14 Постановления № 63) и не действует при цене сделок свыше 1 % активов должника — заранее приведите данные баланса.</w:t>
      </w:r>
    </w:p>
    <w:p>
      <w:pPr>
        <w:spacing w:after="40" w:line="276" w:lineRule="auto"/>
        <w:jc w:val="both"/>
      </w:pPr>
      <w:r>
        <w:rPr>
          <w:rFonts w:ascii="Times New Roman" w:hAnsi="Times New Roman"/>
          <w:b w:val="0"/>
          <w:i/>
          <w:sz w:val="24"/>
        </w:rPr>
        <w:t>— При частичной реальности услуг просите взыскать разницу между уплаченным и рыночной стоимостью; при полной фиктивности — всю сумму и дополнительно ссылайтесь на мнимость (ст. 170 ГК РФ).</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