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конкурсный управляющий должника</w:t>
      </w:r>
      <w:r>
        <w:rPr>
          <w:rFonts w:ascii="Times New Roman" w:hAnsi="Times New Roman"/>
          <w:b w:val="0"/>
          <w:i w:val="0"/>
          <w:sz w:val="24"/>
        </w:rPr>
        <w:br/>
        <w:t>[Ф. И. О. конкурсного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[полное наименование организации-ответчика]</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Третье лицо (основной должник): </w:t>
      </w:r>
      <w:r>
        <w:rPr>
          <w:rFonts w:ascii="Times New Roman" w:hAnsi="Times New Roman"/>
          <w:b w:val="0"/>
          <w:i w:val="0"/>
          <w:sz w:val="24"/>
        </w:rPr>
        <w:t>[наименование заёмщика]</w:t>
      </w:r>
      <w:r>
        <w:rPr>
          <w:rFonts w:ascii="Times New Roman" w:hAnsi="Times New Roman"/>
          <w:b w:val="0"/>
          <w:i w:val="0"/>
          <w:sz w:val="24"/>
        </w:rPr>
        <w:br/>
        <w:t>ОГРН [__________], ИНН [__________]</w:t>
      </w:r>
      <w:r>
        <w:rPr>
          <w:rFonts w:ascii="Times New Roman" w:hAnsi="Times New Roman"/>
          <w:b w:val="0"/>
          <w:i w:val="0"/>
          <w:sz w:val="24"/>
        </w:rPr>
        <w:br/>
        <w:t>адрес: [адрес из ЕГРЮЛ]</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[полное наименование должника]</w:t>
      </w:r>
      <w:r>
        <w:rPr>
          <w:rFonts w:ascii="Times New Roman" w:hAnsi="Times New Roman"/>
          <w:b w:val="0"/>
          <w:i w:val="0"/>
          <w:sz w:val="24"/>
        </w:rPr>
        <w:br/>
        <w:t>ОГРН [__________], ИНН [__________]</w:t>
      </w:r>
      <w:r>
        <w:rPr>
          <w:rFonts w:ascii="Times New Roman" w:hAnsi="Times New Roman"/>
          <w:b w:val="0"/>
          <w:i w:val="0"/>
          <w:sz w:val="24"/>
        </w:rPr>
        <w:br/>
        <w:t>адрес: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25 000 руб. — за требование о признании сделки недействительной (подп. 2 п. 1 ст. 333.21 НК РФ: 50 000 руб. для организаций, с учётом подп. 9 п. 1 той же статьи — 50 %)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недействительными договора поручительства и договора залога и применении последствий недействительности сделок</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[полное наименование] (далее — Должник) признано несостоятельным (банкротом), открыто конкурсное производство, конкурсным управляющим утверждён [Ф. И. О.] (далее — Конкурсный управляющий). [Определением от «[дата]» в отношении Должника была введена процедура наблюдения.] Заявление о признании Должника банкротом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61.9 Федерального закона от 26.10.2002 № 127-ФЗ «О несостоятельности (банкротстве)» (далее — Закон о банкротстве) установлено: «Заявление об оспаривании сделки должника может быть подано в арбитражный суд внешним управляющим или конкурсным управляющим от имени должника по своей инициативе либо по решению собрания кредиторов или комитета кредиторов, при этом срок исковой давности исчисляется с момента, когда арбитражный управляющий узнал или должен был узнать о наличии оснований для оспаривания сделки, предусмотренных настоящим Федеральным законом. Голоса кредитора, в отношении которого или в отношении аффилированных лиц которого совершена сделка, не учитываются при определении кворума и принятии решения собранием (комитетом) кредиторов по вопросу о подаче заявления об оспаривании этой сделки. Если заявление об оспаривании сделки во исполнение решения собрания (комитета) кредиторов не будет подано арбитражным управляющим в течение установленного данным решением срока, такое заявление может быть подано представителем собрания (комитета) кредиторов или иным лицом, уполномоченным решением собрания (комитета) кредиторов.» Абзацем пятым пункта 3 статьи 129 Закона о банкротстве конкурсному управляющему предоставлено право «подавать в арбитражный суд от имени должника заявления о признании недействительными сделок и решений, а также о применении последствий недействительности ничтожных сделок, заключенных или исполненных должником, иски о взыскании убытков, причиненных действиями (бездействием) руководителя должника, лиц, входящих в совет директоров (наблюдательный совет), коллегиальный исполнительный орган или иной орган управления должника, собственника имущества должника, лицами, действовавшими от имени должника в соответствии с доверенностью, иными лицами, действовавшими в соответствии с учредительными документами должника, предъявлять иски об истребовании имущества должника у третьих лиц, о расторжении договоров, заключенных должником, и совершать другие действия, предусмотренные федеральными законами и иными нормативными правовыми актами Российской Федерации и направленные на возврат имущества должника».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 Согласно пункту 1 статьи 61.1 Закона о банкротстве «Сделки, совершенные должником или другими лицами за счет должника, могут быть признаны недействительными в соответствии с Гражданским кодексом Российской Федерации, а также по основаниям и в порядке, которые указаны в настоящем Федеральном законе.»</w:t>
      </w:r>
    </w:p>
    <w:p>
      <w:pPr>
        <w:spacing w:after="120" w:line="276" w:lineRule="auto"/>
        <w:jc w:val="center"/>
      </w:pPr>
      <w:r>
        <w:rPr>
          <w:rFonts w:ascii="Times New Roman" w:hAnsi="Times New Roman"/>
          <w:b/>
          <w:i w:val="0"/>
          <w:sz w:val="24"/>
        </w:rPr>
        <w:t>I. Обстоятельства совершения сделок</w:t>
      </w:r>
    </w:p>
    <w:p>
      <w:pPr>
        <w:spacing w:after="120" w:line="276" w:lineRule="auto"/>
        <w:ind w:firstLine="709"/>
        <w:jc w:val="both"/>
      </w:pPr>
      <w:r>
        <w:rPr>
          <w:rFonts w:ascii="Times New Roman" w:hAnsi="Times New Roman"/>
          <w:b w:val="0"/>
          <w:i w:val="0"/>
          <w:sz w:val="24"/>
        </w:rPr>
        <w:t>«[дата]» между [наименование ответчика] (кредитор) и [наименование заёмщика] (далее — Заёмщик) заключён [договор займа / кредитный договор] № [__] на сумму [сумма] руб. В обеспечение этого обязательства Должник «[дата]» заключил с ответчиком договор поручительства № [__] (далее — Поручительство), приняв солидарную ответственность за Заёмщика в полном объёме, и договор залога № [__] (далее — Залог), передав в залог [недвижимость по адресу [__], кадастровый номер [__] / оборудование] стоимостью [сумма] руб. Пунктом 1 статьи 361 ГК РФ установлено: «По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 Договор поручительства может быть заключен в обеспечение как денежных, так и неденежных обязательств, а также в обеспечение обязательства, которое возникнет в будущем.» Пунктом 1 статьи 334 ГК РФ предусмотрено: «В силу залога кредитор по обеспеченному залогом обязательству (залогодержатель) имеет право в случае неисполнения или ненадлежащего исполнения должником этого обязательства получить удовлетворение из стоимости заложенного имущества (предмета залога) преимущественно перед другими кредиторами лица, которому принадлежит заложенное имущество (залогодателя).»</w:t>
      </w:r>
    </w:p>
    <w:p>
      <w:pPr>
        <w:spacing w:after="120" w:line="276" w:lineRule="auto"/>
        <w:ind w:firstLine="709"/>
        <w:jc w:val="both"/>
      </w:pPr>
      <w:r>
        <w:rPr>
          <w:rFonts w:ascii="Times New Roman" w:hAnsi="Times New Roman"/>
          <w:b w:val="0"/>
          <w:i w:val="0"/>
          <w:sz w:val="24"/>
        </w:rPr>
        <w:t>Должник не получил по сделкам никакого встречного предоставления: вознаграждение за выдачу обеспечения не предусмотрено, заёмные средства Должнику не передавались и в его хозяйственной деятельности не использовались [Заёмщик направил их на [__]]. Заёмщик обязательство не исполнил; «[дата]» ответчик предъявил требование к Должнику как поручителю и залогодателю [включился в реестр требований кредиторов Должника определением от «[дата]» в размере [сумма] руб. как обеспеченное залогом].</w:t>
      </w:r>
    </w:p>
    <w:p>
      <w:pPr>
        <w:spacing w:after="120" w:line="276" w:lineRule="auto"/>
        <w:ind w:firstLine="709"/>
        <w:jc w:val="both"/>
      </w:pPr>
      <w:r>
        <w:rPr>
          <w:rFonts w:ascii="Times New Roman" w:hAnsi="Times New Roman"/>
          <w:b/>
          <w:i w:val="0"/>
          <w:sz w:val="24"/>
        </w:rPr>
        <w:t>Период подозрительности.</w:t>
      </w:r>
      <w:r>
        <w:rPr>
          <w:rFonts w:ascii="Times New Roman" w:hAnsi="Times New Roman"/>
          <w:b w:val="0"/>
          <w:i w:val="0"/>
          <w:sz w:val="24"/>
        </w:rPr>
        <w:t xml:space="preserve"> Заявление о признании Должника банкротом принято к производству «[дата]». Оспариваемая сделка совершена «[дата]», то есть в течение трёх лет до принятия заявления о признании Должника банкротом, и подпадает под период, установленный пунктом 2 статьи 61.2 Закона о банкротстве.</w:t>
      </w:r>
    </w:p>
    <w:p>
      <w:pPr>
        <w:spacing w:after="120" w:line="276" w:lineRule="auto"/>
        <w:jc w:val="center"/>
      </w:pPr>
      <w:r>
        <w:rPr>
          <w:rFonts w:ascii="Times New Roman" w:hAnsi="Times New Roman"/>
          <w:b/>
          <w:i w:val="0"/>
          <w:sz w:val="24"/>
        </w:rPr>
        <w:t>II. Неисполненные обязательства Должника на дату сделок</w:t>
      </w:r>
    </w:p>
    <w:p>
      <w:pPr>
        <w:spacing w:after="120" w:line="276" w:lineRule="auto"/>
        <w:ind w:firstLine="709"/>
        <w:jc w:val="both"/>
      </w:pPr>
      <w:r>
        <w:rPr>
          <w:rFonts w:ascii="Times New Roman" w:hAnsi="Times New Roman"/>
          <w:b w:val="0"/>
          <w:i w:val="0"/>
          <w:sz w:val="24"/>
        </w:rPr>
        <w:t>На дату совершения сделки Должник имел неисполненные обязательства: перед [кредитор 1] — [сумма] руб. (решение Арбитражного суда [__] от «[дата]» по делу № [__], требование включено в реестр); перед [кредитор 2] — [сумма] руб.; перед уполномоченным органом — [сумма] руб. (требование от «[дата]» № [__]). По данным бухгалтерского баланса на [отчётная дата] обязательства Должника ([сумма] руб.) превышали стоимость активов ([сумма] руб.); картотека неисполненных платёжных документов по счёту ведётся с «[дата]». Следовательно, Должник отвечал признакам неплатёжеспособности и недостаточности имущества (статья 2 Закона о банкротстве).</w:t>
      </w:r>
    </w:p>
    <w:p>
      <w:pPr>
        <w:spacing w:after="120" w:line="276" w:lineRule="auto"/>
        <w:jc w:val="center"/>
      </w:pPr>
      <w:r>
        <w:rPr>
          <w:rFonts w:ascii="Times New Roman" w:hAnsi="Times New Roman"/>
          <w:b/>
          <w:i w:val="0"/>
          <w:sz w:val="24"/>
        </w:rPr>
        <w:t>III. Вред кредиторам</w:t>
      </w:r>
    </w:p>
    <w:p>
      <w:pPr>
        <w:spacing w:after="120" w:line="276" w:lineRule="auto"/>
        <w:ind w:firstLine="709"/>
        <w:jc w:val="both"/>
      </w:pPr>
      <w:r>
        <w:rPr>
          <w:rFonts w:ascii="Times New Roman" w:hAnsi="Times New Roman"/>
          <w:b w:val="0"/>
          <w:i w:val="0"/>
          <w:sz w:val="24"/>
        </w:rPr>
        <w:t>Статьёй 2 Закона о банкротстве определено: «вред, причиненный имущественным правам кредиторов, -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либо бездействия, приводящие к полной или частичной утрате возможности кредиторов получить удовлетворение своих требований по обязательствам должника за счет его имущества; неплатежеспособность -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При этом недостаточность денежных средств предполагается, если не доказано иное; недостаточность имущества - превышение размера денежных обязательств и обязанностей по уплате обязательных платежей должника над стоимостью имущества (активов) должника».</w:t>
      </w:r>
    </w:p>
    <w:p>
      <w:pPr>
        <w:spacing w:after="120" w:line="276" w:lineRule="auto"/>
        <w:ind w:firstLine="709"/>
        <w:jc w:val="both"/>
      </w:pPr>
      <w:r>
        <w:rPr>
          <w:rFonts w:ascii="Times New Roman" w:hAnsi="Times New Roman"/>
          <w:b w:val="0"/>
          <w:i w:val="0"/>
          <w:sz w:val="24"/>
        </w:rPr>
        <w:t>Вред, причинённый имущественным правам кредиторов, включает увеличение размера имущественных требований к Должнику. Поручительство увеличило обязательства Должника на [сумма] руб. без какого-либо экономического интереса для него, а Залог предоставил ответчику приоритет перед иными кредиторами в отношении имущества стоимостью [сумма] руб. (статья 138 Закона о банкротстве). В результате доля удовлетворения требований независимых кредиторов снизилась с [__] % до [__] %.</w:t>
      </w:r>
    </w:p>
    <w:p>
      <w:pPr>
        <w:spacing w:after="120" w:line="276" w:lineRule="auto"/>
        <w:ind w:firstLine="709"/>
        <w:jc w:val="both"/>
      </w:pPr>
      <w:r>
        <w:rPr>
          <w:rFonts w:ascii="Times New Roman" w:hAnsi="Times New Roman"/>
          <w:b/>
          <w:i w:val="0"/>
          <w:sz w:val="24"/>
        </w:rPr>
        <w:t>Отсутствие экономической целесообразности.</w:t>
      </w:r>
      <w:r>
        <w:rPr>
          <w:rFonts w:ascii="Times New Roman" w:hAnsi="Times New Roman"/>
          <w:b w:val="0"/>
          <w:i w:val="0"/>
          <w:sz w:val="24"/>
        </w:rPr>
        <w:t xml:space="preserve"> Выдача обеспечения за третье лицо имеет разумный смысл лишь при наличии у поручителя (залогодателя) общего с заёмщиком экономического интереса (участие в группе компаний, получение части финансирования, встречные обязательства). Здесь такой интерес отсутствовал [либо: Заёмщик и ответчик входят в одну группу, а Должник к ней не относится и выгоды от кредита не получил]: Должник на дату сделок сам имел просроченные долги, а размер принятого обязательства ([сумма] руб.) составлял [__] % стоимости его активов ([сумма] руб.), что образует презумпцию цели причинения вреда (абзац третий пункта 2 статьи 61.2 Закона о банкротстве — стоимость принятых обязательств более двадцати процентов активов).</w:t>
      </w:r>
    </w:p>
    <w:p>
      <w:pPr>
        <w:spacing w:after="120" w:line="276" w:lineRule="auto"/>
        <w:jc w:val="center"/>
      </w:pPr>
      <w:r>
        <w:rPr>
          <w:rFonts w:ascii="Times New Roman" w:hAnsi="Times New Roman"/>
          <w:b/>
          <w:i w:val="0"/>
          <w:sz w:val="24"/>
        </w:rPr>
        <w:t>IV. Заинтересованность ответчика и осведомлённость о цели сделок</w:t>
      </w:r>
    </w:p>
    <w:p>
      <w:pPr>
        <w:spacing w:after="120" w:line="276" w:lineRule="auto"/>
        <w:ind w:firstLine="709"/>
        <w:jc w:val="both"/>
      </w:pPr>
      <w:r>
        <w:rPr>
          <w:rFonts w:ascii="Times New Roman" w:hAnsi="Times New Roman"/>
          <w:b/>
          <w:i w:val="0"/>
          <w:sz w:val="24"/>
        </w:rPr>
        <w:t>Заинтересованность ответчика.</w:t>
      </w:r>
      <w:r>
        <w:rPr>
          <w:rFonts w:ascii="Times New Roman" w:hAnsi="Times New Roman"/>
          <w:b w:val="0"/>
          <w:i w:val="0"/>
          <w:sz w:val="24"/>
        </w:rPr>
        <w:t xml:space="preserve"> Пунктами 1 и 2 статьи 19 Закона о банкротстве установлено: «В целях настоящего Федерального закона заинтересованными лицами по отношению к должнику признаются: лицо, которое в соответствии с Федеральным законом от 26 июля 2006 года N 135-ФЗ "О защите конкуренции" входит в одну группу лиц с должником; лицо, которое является аффилированным лицом должника. 2. Заинтересованными лицами по отношению к должнику - юридическому лицу признаются также: руководитель должника, а также лица, входящие в совет директоров (наблюдательный совет), коллегиальный исполнительный орган или иной орган управления должника, главный бухгалтер (бухгалтер) должника, в том числе указанные лица, освобожденные от своих обязанностей в течение года до момента возбуждения производства по делу о банкротстве или до даты назначения временной администрации финансовой организации (в зависимости от того, какая дата наступила ранее), либо лицо, имеющее или имевшее в течение указанного периода возможность определять действия должника; лица, находящиеся с физическими лицами, указанными в абзаце втором настоящего пункта, в отношениях, определенных пунктом 3 настоящей статьи». Ответчик [входит в одну группу лиц с Должником / является участником (руководителем) Должника / контролируется тем же лицом — [Ф. И. О.] / является супругом (родственником) руководителя Должника], что подтверждается выписками из ЕГРЮЛ, [списком участников, сведениями ЗАГС]. Осведомлённость заинтересованного лица о цели причинения вреда кредиторам презюмируется (абзац первый пункта 2 статьи 61.2 Закона о банкротстве, пункт 7 Постановления № 63).</w:t>
      </w:r>
    </w:p>
    <w:p>
      <w:pPr>
        <w:spacing w:after="120" w:line="276" w:lineRule="auto"/>
        <w:ind w:firstLine="709"/>
        <w:jc w:val="both"/>
      </w:pPr>
      <w:r>
        <w:rPr>
          <w:rFonts w:ascii="Times New Roman" w:hAnsi="Times New Roman"/>
          <w:b w:val="0"/>
          <w:i w:val="0"/>
          <w:sz w:val="24"/>
        </w:rPr>
        <w:t>Если формальная связь между сторонами не прослеживается, о фактической аффилированности свидетельствуют условия сделки, недоступные независимым участникам оборота: [отсутствие оплаты и мер по её истребованию, сохранение имущества во владении Должника, совпадение адресов и представителей, общие сотрудники, расчёты «по кругу»] (определение Верховного Суда Российской Федерации от 15.06.2016 № 308-ЭС16-1475). Такое поведение сторон переносит на ответчика бремя раскрытия разумных экономических мотивов сделки (определение Верховного Суда Российской Федерации от 26.05.2017 № 306-ЭС16-20056(6)).</w:t>
      </w:r>
    </w:p>
    <w:p>
      <w:pPr>
        <w:spacing w:after="120" w:line="276" w:lineRule="auto"/>
        <w:ind w:firstLine="709"/>
        <w:jc w:val="both"/>
      </w:pPr>
      <w:r>
        <w:rPr>
          <w:rFonts w:ascii="Times New Roman" w:hAnsi="Times New Roman"/>
          <w:b w:val="0"/>
          <w:i w:val="0"/>
          <w:sz w:val="24"/>
        </w:rPr>
        <w:t>Ответчик как профессиональный кредитор [кредитная организация / займодавец, систематически выдающий займы] обязан был проверить финансовое состояние поручителя и залогодателя; бухгалтерская отчётность Должника на дату сделок отражала [убыток / превышение обязательств над активами / просроченную кредиторскую задолженность], а картотека по счёту велась с «[дата]». Пунктом 12.2 Постановления № 63 разъяснено: «Сам по себе тот факт, что другая сторона сделки является кредитной организацией, не может рассматриваться как единственное достаточное обоснование того, что она знала или должна была знать о признаках неплатежеспособности или недостаточности имущества должника (пункт 2 статьи 61.2 или пункт 3 статьи 61.3 Закона о банкротстве); оспаривающее сделку лицо должно представить конкретные доказательства недобросовестности кредитной организации.»</w:t>
      </w:r>
    </w:p>
    <w:p>
      <w:pPr>
        <w:spacing w:after="120" w:line="276" w:lineRule="auto"/>
        <w:jc w:val="center"/>
      </w:pPr>
      <w:r>
        <w:rPr>
          <w:rFonts w:ascii="Times New Roman" w:hAnsi="Times New Roman"/>
          <w:b/>
          <w:i w:val="0"/>
          <w:sz w:val="24"/>
        </w:rPr>
        <w:t>V. Правовое обоснование</w:t>
      </w:r>
    </w:p>
    <w:p>
      <w:pPr>
        <w:spacing w:after="120" w:line="276" w:lineRule="auto"/>
        <w:ind w:firstLine="709"/>
        <w:jc w:val="both"/>
      </w:pPr>
      <w:r>
        <w:rPr>
          <w:rFonts w:ascii="Times New Roman" w:hAnsi="Times New Roman"/>
          <w:b/>
          <w:i w:val="0"/>
          <w:sz w:val="24"/>
        </w:rPr>
        <w:t>Основание — пункт 2 статьи 61.2 Закона о банкротстве.</w:t>
      </w:r>
      <w:r>
        <w:rPr>
          <w:rFonts w:ascii="Times New Roman" w:hAnsi="Times New Roman"/>
          <w:b w:val="0"/>
          <w:i w:val="0"/>
          <w:sz w:val="24"/>
        </w:rPr>
        <w:t xml:space="preserve"> Пунктом 2 статьи 61.2 Закона о банкротстве установлено: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следующих условий: 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 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 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w:t>
      </w:r>
    </w:p>
    <w:p>
      <w:pPr>
        <w:spacing w:after="120" w:line="276" w:lineRule="auto"/>
        <w:ind w:firstLine="709"/>
        <w:jc w:val="both"/>
      </w:pPr>
      <w:r>
        <w:rPr>
          <w:rFonts w:ascii="Times New Roman" w:hAnsi="Times New Roman"/>
          <w:b w:val="0"/>
          <w:i w:val="0"/>
          <w:sz w:val="24"/>
        </w:rPr>
        <w:t>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(далее — Постановление № 63) разъяснено: «В силу этой нормы для признания сделки недействительной по данному основанию необходимо, чтобы оспаривающее сделку лицо доказало наличие совокупности всех следующих обстоятельств: а) сделка была совершена с целью причинить вред имущественным правам кредиторов; б) в результате совершения сделки был причинен вред имущественным правам кредиторов; в) другая сторона сделки знала или должна была знать об указанной цели должника к моменту совершения сделки (с учетом пункта 7 настоящего Постановления). В случае недоказанности хотя бы одного из этих обстоятельств суд отказывает в признании сделки недействительной по данному основанию.» Пунктом 6 Постановления № 63 разъяснено: «Согласно абзацам второму - пятому пункта 2 статьи 61.2 Закона о банкротстве цель причинения вреда имущественным правам кредиторов предполагается, если налицо одновременно два следующих условия: а) на момент совершения сделки должник отвечал признаку неплатежеспособности или недостаточности имущества; б) имеется хотя бы одно из других обстоятельств, предусмотренных абзацами вторым - пятым пункта 2 статьи 61.2 Закона о банкротстве. Установленные абзацами вторым - пятым пункта 2 статьи 61.2 Закона о банкротстве презумпции являются опровержимыми - они применяются, если иное не доказано другой стороной сделки.» Согласно пункту 7 Постановления № 63 «В силу абзаца первого пункта 2 статьи 61.2 Закона о банкротстве предполагается, что другая сторона сделки знала о совершении сделки с целью причинить вред имущественным правам кредиторов, если она признана заинтересованным лицом (статья 19 этого Закона)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Данные презумпции являются опровержимыми - они применяются, если иное не доказано другой стороной сделки. При решении вопроса о том, должна ли была другая сторона сделки знать об указанных обстоятельствах, во внимание принимается то, насколько она могла, действуя разумно и проявляя требующуюся от нее по условиям оборота осмотрительность, установить наличие этих обстоятельств.»</w:t>
      </w:r>
    </w:p>
    <w:p>
      <w:pPr>
        <w:spacing w:after="120" w:line="276" w:lineRule="auto"/>
        <w:ind w:firstLine="709"/>
        <w:jc w:val="both"/>
      </w:pPr>
      <w:r>
        <w:rPr>
          <w:rFonts w:ascii="Times New Roman" w:hAnsi="Times New Roman"/>
          <w:b w:val="0"/>
          <w:i w:val="0"/>
          <w:sz w:val="24"/>
        </w:rPr>
        <w:t>Все элементы состава пункта 2 статьи 61.2 Закона о банкротстве доказаны: сделки совершены в трёхлетний период при неплатёжеспособности; в пользу заинтересованного лица [либо: с принятием обязательств более 20 % активов]; вред — увеличение требований к Должнику и обременение его имущества без эквивалента; ответчик знал или должен был знать о неплатёжеспособности Должника. Верховный Суд Российской Федерации признаёт обеспечительные сделки за аффилированных лиц недействительными, когда они лишены экономического смысла для поручителя и совершены в ущерб его кредиторам (определение от 28.12.2015 № 308-ЭС15-1607).</w:t>
      </w:r>
    </w:p>
    <w:p>
      <w:pPr>
        <w:spacing w:after="120" w:line="276" w:lineRule="auto"/>
        <w:ind w:firstLine="709"/>
        <w:jc w:val="both"/>
      </w:pPr>
      <w:r>
        <w:rPr>
          <w:rFonts w:ascii="Times New Roman" w:hAnsi="Times New Roman"/>
          <w:b w:val="0"/>
          <w:i w:val="0"/>
          <w:sz w:val="24"/>
        </w:rPr>
        <w:t>Статья 61.3 Закона о банкротстве дополнительно применима к Залогу: абзацем вторым пункта 1 статьи 61.3 предусмотрено, что предпочтение имеет место, если «сделка направлена на обеспечение исполнения обязательства должника или третьего лица перед отдельным кредитором, возникшего до совершения оспариваемой сделки» [Залог выдан «[дата]» в обеспечение обязательства, возникшего «[дата]», то есть ранее, и в шестимесячный период до принятия заявления о банкротстве — пункт 3 статьи 61.3.]</w:t>
      </w:r>
    </w:p>
    <w:p>
      <w:pPr>
        <w:spacing w:after="120" w:line="276" w:lineRule="auto"/>
        <w:jc w:val="center"/>
      </w:pPr>
      <w:r>
        <w:rPr>
          <w:rFonts w:ascii="Times New Roman" w:hAnsi="Times New Roman"/>
          <w:b/>
          <w:i w:val="0"/>
          <w:sz w:val="24"/>
        </w:rPr>
        <w:t>VI. Срок исковой давности</w:t>
      </w:r>
    </w:p>
    <w:p>
      <w:pPr>
        <w:spacing w:after="120" w:line="276" w:lineRule="auto"/>
        <w:ind w:firstLine="709"/>
        <w:jc w:val="both"/>
      </w:pPr>
      <w:r>
        <w:rPr>
          <w:rFonts w:ascii="Times New Roman" w:hAnsi="Times New Roman"/>
          <w:b w:val="0"/>
          <w:i w:val="0"/>
          <w:sz w:val="24"/>
        </w:rPr>
        <w:t>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Пунктом 32 Постановления № 63 разъяснено: «Заявление об оспаривании сделки на основании статей 61.2 или 61.3 Закона о банкротстве может быть подано в течение годичного срока исковой давности (пункт 2 статьи 181 ГК РФ).» В силу пункта 1 статьи 61.9 Закона о банкротстве срок исковой давности исчисляется с момента, когда арбитражный управляющий узнал или должен был узнать о наличии оснований для оспаривания сделки. Конкурсный управляющий утверждён «[дата]»; документация Должника получена от бывшего руководителя «[дата]» [вариант: не передана, сведения о сделке получены из [источник] «[дата]»], поэтому годичный срок на дату подачи заявления не истёк.</w:t>
      </w:r>
    </w:p>
    <w:p>
      <w:pPr>
        <w:spacing w:after="120" w:line="276" w:lineRule="auto"/>
        <w:jc w:val="center"/>
      </w:pPr>
      <w:r>
        <w:rPr>
          <w:rFonts w:ascii="Times New Roman" w:hAnsi="Times New Roman"/>
          <w:b/>
          <w:i w:val="0"/>
          <w:sz w:val="24"/>
        </w:rPr>
        <w:t>VII.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Последствием недействительности Поручительства является исключение требования ответчика, основанного на нём, из реестра требований кредиторов Должника [отказ во включении]; последствием недействительности Залога — прекращение права залога ответчика на имущество Должника и учёт его требования (при наличии) как не обеспеченного залогом. Пунктом 4 статьи 61.6 Закона о банкротстве и пунктом 25 Постановления № 63 регулируется судьба восстановленного требования; в данном случае восстанавливать нечего, поскольку Должник исполнения не производил.</w:t>
      </w:r>
    </w:p>
    <w:p>
      <w:pPr>
        <w:spacing w:after="120" w:line="276" w:lineRule="auto"/>
        <w:jc w:val="center"/>
      </w:pPr>
      <w:r>
        <w:rPr>
          <w:rFonts w:ascii="Times New Roman" w:hAnsi="Times New Roman"/>
          <w:b/>
          <w:i w:val="0"/>
          <w:sz w:val="24"/>
        </w:rPr>
        <w:t>VIII.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организаций — 50 000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25 000 руб.</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166, 167, 168, 334, 361 Гражданского кодекса Российской Федерации, статьями 2, 19, 61.1, 61.2, 61.3, 61.6, 61.8, 61.9, 129, 138 Федерального закона «О несостоятельности (банкротстве)», статьями 65, 90, 91, 92, 125, 126, 223 Арбитражного процессуального кодекса Российской Федерации, конкурсный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Признать недействительным договор поручительства от «[дата]» № [__], заключённый между [наименование Должника] и [наименование ответчика] в обеспечение обязательств [наименование Заёмщика] по договору от «[дата]» № [__].</w:t>
      </w:r>
    </w:p>
    <w:p>
      <w:pPr>
        <w:spacing w:after="120" w:line="276" w:lineRule="auto"/>
        <w:ind w:firstLine="709"/>
        <w:jc w:val="both"/>
      </w:pPr>
      <w:r>
        <w:rPr>
          <w:rFonts w:ascii="Times New Roman" w:hAnsi="Times New Roman"/>
          <w:b w:val="0"/>
          <w:i w:val="0"/>
          <w:sz w:val="24"/>
        </w:rPr>
        <w:t>3. Признать недействительным договор залога от «[дата]» № [__], заключённый между [наименование Должника] и [наименование ответчика].</w:t>
      </w:r>
    </w:p>
    <w:p>
      <w:pPr>
        <w:spacing w:after="120" w:line="276" w:lineRule="auto"/>
        <w:ind w:firstLine="709"/>
        <w:jc w:val="both"/>
      </w:pPr>
      <w:r>
        <w:rPr>
          <w:rFonts w:ascii="Times New Roman" w:hAnsi="Times New Roman"/>
          <w:b w:val="0"/>
          <w:i w:val="0"/>
          <w:sz w:val="24"/>
        </w:rPr>
        <w:t>4. Применить последствия недействительности сделок: признать отсутствующим право залога [наименование ответчика] на [имущество]; указать, что определение является основанием для погашения записи об ипотеке в ЕГРН [исключить из реестра требований кредиторов Должника требование ответчика в размере [сумма] руб., основанное на договоре поручительства].</w:t>
      </w:r>
    </w:p>
    <w:p>
      <w:pPr>
        <w:spacing w:after="120" w:line="276" w:lineRule="auto"/>
        <w:ind w:firstLine="709"/>
        <w:jc w:val="both"/>
      </w:pPr>
      <w:r>
        <w:rPr>
          <w:rFonts w:ascii="Times New Roman" w:hAnsi="Times New Roman"/>
          <w:b w:val="0"/>
          <w:i w:val="0"/>
          <w:sz w:val="24"/>
        </w:rPr>
        <w:t>5.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Копии договора займа (кредита), договора поручительства, договора залога; выписка из ЕГРН об ипотеке.</w:t>
      </w:r>
    </w:p>
    <w:p>
      <w:pPr>
        <w:spacing w:after="40" w:line="276" w:lineRule="auto"/>
        <w:jc w:val="left"/>
      </w:pPr>
      <w:r>
        <w:rPr>
          <w:rFonts w:ascii="Times New Roman" w:hAnsi="Times New Roman"/>
          <w:b w:val="0"/>
          <w:i w:val="0"/>
          <w:sz w:val="24"/>
        </w:rPr>
        <w:t>4. Бухгалтерская отчётность Должника на дату сделок (для расчёта 20 % активов и доказывания неплатёжеспособности); выписки по счетам Должника (отсутствие поступления заёмных средств).</w:t>
      </w:r>
    </w:p>
    <w:p>
      <w:pPr>
        <w:spacing w:after="40" w:line="276" w:lineRule="auto"/>
        <w:jc w:val="left"/>
      </w:pPr>
      <w:r>
        <w:rPr>
          <w:rFonts w:ascii="Times New Roman" w:hAnsi="Times New Roman"/>
          <w:b w:val="0"/>
          <w:i w:val="0"/>
          <w:sz w:val="24"/>
        </w:rPr>
        <w:t>5. Выписки из ЕГРЮЛ в отношении ответчика, Заёмщика и Должника; схема аффилированности.</w:t>
      </w:r>
    </w:p>
    <w:p>
      <w:pPr>
        <w:spacing w:after="40" w:line="276" w:lineRule="auto"/>
        <w:jc w:val="left"/>
      </w:pPr>
      <w:r>
        <w:rPr>
          <w:rFonts w:ascii="Times New Roman" w:hAnsi="Times New Roman"/>
          <w:b w:val="0"/>
          <w:i w:val="0"/>
          <w:sz w:val="24"/>
        </w:rPr>
        <w:t>6. Определение о включении требования ответчика в реестр [если принято].</w:t>
      </w:r>
    </w:p>
    <w:p>
      <w:pPr>
        <w:spacing w:after="40" w:line="276" w:lineRule="auto"/>
        <w:jc w:val="left"/>
      </w:pPr>
      <w:r>
        <w:rPr>
          <w:rFonts w:ascii="Times New Roman" w:hAnsi="Times New Roman"/>
          <w:b w:val="0"/>
          <w:i w:val="0"/>
          <w:sz w:val="24"/>
        </w:rPr>
        <w:t>7.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8.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9.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10.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11.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 [и иным лицам, участвующим в деле].</w:t>
      </w:r>
    </w:p>
    <w:p>
      <w:pPr>
        <w:spacing w:after="40" w:line="276" w:lineRule="auto"/>
        <w:jc w:val="left"/>
      </w:pPr>
      <w:r>
        <w:rPr>
          <w:rFonts w:ascii="Times New Roman" w:hAnsi="Times New Roman"/>
          <w:b w:val="0"/>
          <w:i w:val="0"/>
          <w:sz w:val="24"/>
        </w:rPr>
        <w:t>12.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Главный тезис — отсутствие экономического смысла для должника. Если должник и заёмщик входят в одну группу и кредит использовался в интересах группы, суды, как правило, отказывают (поручительство внутри группы считается обычным). Тогда переносите акцент на осведомлённость кредитора о неплатёжеспособности и на ст. 61.3 для залога.</w:t>
      </w:r>
    </w:p>
    <w:p>
      <w:pPr>
        <w:spacing w:after="40" w:line="276" w:lineRule="auto"/>
        <w:jc w:val="both"/>
      </w:pPr>
      <w:r>
        <w:rPr>
          <w:rFonts w:ascii="Times New Roman" w:hAnsi="Times New Roman"/>
          <w:b w:val="0"/>
          <w:i/>
          <w:sz w:val="24"/>
        </w:rPr>
        <w:t>— Поручительство увеличивает обязательства, залог — даёт приоритет: вред описывайте отдельно для каждой сделки.</w:t>
      </w:r>
    </w:p>
    <w:p>
      <w:pPr>
        <w:spacing w:after="40" w:line="276" w:lineRule="auto"/>
        <w:jc w:val="both"/>
      </w:pPr>
      <w:r>
        <w:rPr>
          <w:rFonts w:ascii="Times New Roman" w:hAnsi="Times New Roman"/>
          <w:b w:val="0"/>
          <w:i/>
          <w:sz w:val="24"/>
        </w:rPr>
        <w:t>— Если требование кредитора уже включено в реестр, одновременно подайте заявление о его исключении (п. 6 ст. 16 Закона о банкротстве) или просите об этом в последствиях.</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